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p>
      <w:r>
        <w:t>Dopuna izgleda formi 10.09.2026: Vrsta intervencije u garaži, zahtevu i fakturi koristi isti padajući izbor kao ostala polja. Usklađen je i Nalog garaže. Pri promeni vozila dostupni su samo njegovi nalozi, a izbor naloga ažurira vidljivi tip intervencije. Provereno u Chrome pregledaču na izolovanoj bazi: ista visina i okvir polja, izbor naloga po vozilu i automatski prikaz tipa. Nema izmene baze.</w:t>
      </w:r>
    </w:p>
    <w:p>
      <w:r>
        <w:t>Dopuna navigacije 10.09.2026: Na detalju zahteva za uslugu/nabavku, kada je povezano vozilo, prikazuje se dugme Detalji vozila u zaglavlju. Naziv vozila u osnovnim podacima takođe vodi na njegov detalj. Bez vozila nema dugmeta; prikazuje se Nije povezano. Proveren je prikaz oba slučaja bez izmene zapisa u bazi.</w:t>
      </w:r>
    </w:p>
    <w:p>
      <w:pPr>
        <w:pStyle w:val="Heading1"/>
      </w:pPr>
      <w:r>
        <w:t>Analiza aplikacije i predlog procedura — 10.09.2026.</w:t>
      </w:r>
    </w:p>
    <w:p>
      <w:r>
        <w:t>Izrađen je novi detaljan Word „Analiza aplikacije i procedure rada - IMS flota.docx“. Postojeće primedbe i dokazi u ovom preseku su sačuvani. Novi dokument razdvaja provereno stanje, dogovorene smernice i predloge koji tek treba da se implementiraju.</w:t>
      </w:r>
    </w:p>
    <w:p>
      <w:r>
        <w:t>Potvrđeno sa korisnikom: sekretarice vode putne naloge; periodično zaduženje nije isto što i vozač na svakom putovanju. Garaža/Veljović formira nalog i potvrđuje stvarno završene radove, a uprava odobrava intervenciju. Zadržati mogućnost naknadnog povezivanja nabavke i vozila. Dodati plan velikog servisa i računanje dospeća; za ponavljanja traženo je upozorenje, bez automatske zabrane.</w:t>
      </w:r>
    </w:p>
    <w:p>
      <w:r>
        <w:t>Proverena osnova: 172 vozila, od kojih 164 aktivna; 217 zaduženja vozila; 3.522 putna naloga; jedan nalog garaže; 224 zahteva Nabavke. Brojevi predstavljaju zatečenu evidenciju, a ne fizički popis ili potvrdu izvršenja. U bazi postoji veza zahteva sa nalogom garaže, ali tokom provere nijedan zahtev nije koristio tu vezu.</w:t>
      </w:r>
    </w:p>
    <w:p>
      <w:r>
        <w:t>Prioriteti: odobravanje i istorija promena naloga; odvojena potvrda izvršenja sa datumom i kilometražom; uklanjanje automatskog stvaranja generičkih delova prilikom pregleda iz evidencije stvarnog utroška; precizna prava po ulogama; povezivanje dokumenata bez dvostrukog troška; pouzdana osnova za servisne rokove. Trošak interne garaže traži i podatke o radu i zajedničkim rashodima, a ne samo o delovima.</w:t>
      </w:r>
    </w:p>
    <w:p>
      <w:r>
        <w:t>Otvoreno: značenje starih kategorija „Redovan servis“, intervali po vozilu, finansijska metodologija i odgovorna lica, sati rada garaže, hitne intervencije i zamena odobravaoca, pragovi upozorenja i tačan identitet AutoDekija. Ova pitanja su objašnjena u novoj analizi; ne sprečavaju razradu osnovnog toka.</w:t>
      </w:r>
    </w:p>
    <w:p>
      <w:r>
        <w:t>Status: završena analiza i predlog procedura, modela, migracija i redosleda razvoja. U ovom koraku nisu menjani aplikacioni tokovi, dozvole ili poslovni zapisi. Ranije izvedene dorade ostaju opisane u prethodnim dopunama.</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