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FE7" w:rsidRDefault="00F56747">
      <w:pPr>
        <w:pStyle w:val="Heading1"/>
        <w:jc w:val="center"/>
      </w:pPr>
      <w:r>
        <w:rPr>
          <w:color w:val="2F365F"/>
          <w:sz w:val="40"/>
        </w:rPr>
        <w:t>GLOBAL HIGHER-</w:t>
      </w:r>
      <w:bookmarkStart w:id="0" w:name="_GoBack"/>
      <w:bookmarkEnd w:id="0"/>
      <w:r>
        <w:rPr>
          <w:color w:val="2F365F"/>
          <w:sz w:val="40"/>
        </w:rPr>
        <w:t>EDUCATION INSIGHTS</w:t>
      </w:r>
    </w:p>
    <w:p w:rsidR="002F7FE7" w:rsidRDefault="00F56747">
      <w:pPr>
        <w:jc w:val="center"/>
      </w:pPr>
      <w:r>
        <w:rPr>
          <w:color w:val="5F27CD"/>
          <w:sz w:val="26"/>
        </w:rPr>
        <w:t>MECE Breakdown of University Performance Analysis Project</w:t>
      </w:r>
    </w:p>
    <w:p w:rsidR="002F7FE7" w:rsidRDefault="002F7FE7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F7FE7" w:rsidTr="00F56747">
        <w:tc>
          <w:tcPr>
            <w:tcW w:w="2160" w:type="dxa"/>
            <w:shd w:val="clear" w:color="auto" w:fill="007B83"/>
          </w:tcPr>
          <w:p w:rsidR="002F7FE7" w:rsidRDefault="00F56747">
            <w:pPr>
              <w:jc w:val="center"/>
            </w:pPr>
            <w:r>
              <w:rPr>
                <w:b/>
                <w:color w:val="FFFFFF"/>
                <w:sz w:val="24"/>
              </w:rPr>
              <w:t>Country Overview</w:t>
            </w:r>
          </w:p>
        </w:tc>
        <w:tc>
          <w:tcPr>
            <w:tcW w:w="2160" w:type="dxa"/>
            <w:shd w:val="clear" w:color="auto" w:fill="5F27CD"/>
          </w:tcPr>
          <w:p w:rsidR="002F7FE7" w:rsidRDefault="00F56747">
            <w:pPr>
              <w:jc w:val="center"/>
            </w:pPr>
            <w:r>
              <w:rPr>
                <w:b/>
                <w:color w:val="FFFFFF"/>
                <w:sz w:val="24"/>
              </w:rPr>
              <w:t>Institutional Profile</w:t>
            </w:r>
          </w:p>
        </w:tc>
        <w:tc>
          <w:tcPr>
            <w:tcW w:w="2160" w:type="dxa"/>
            <w:shd w:val="clear" w:color="auto" w:fill="2C3E50"/>
          </w:tcPr>
          <w:p w:rsidR="002F7FE7" w:rsidRDefault="00F56747">
            <w:pPr>
              <w:jc w:val="center"/>
            </w:pPr>
            <w:r>
              <w:rPr>
                <w:b/>
                <w:color w:val="FFFFFF"/>
                <w:sz w:val="24"/>
              </w:rPr>
              <w:t>Yearly Trends</w:t>
            </w:r>
          </w:p>
        </w:tc>
        <w:tc>
          <w:tcPr>
            <w:tcW w:w="2160" w:type="dxa"/>
            <w:shd w:val="clear" w:color="auto" w:fill="7F7F7F" w:themeFill="text1" w:themeFillTint="80"/>
          </w:tcPr>
          <w:p w:rsidR="002F7FE7" w:rsidRDefault="00F56747">
            <w:pPr>
              <w:jc w:val="center"/>
            </w:pPr>
            <w:r>
              <w:rPr>
                <w:b/>
                <w:color w:val="FFFFFF"/>
                <w:sz w:val="24"/>
              </w:rPr>
              <w:t>Ranking Breakdown</w:t>
            </w:r>
          </w:p>
        </w:tc>
      </w:tr>
      <w:tr w:rsidR="002F7FE7"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Determine the number of countries represented in the dataset.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 xml:space="preserve">Count and list all </w:t>
            </w:r>
            <w:r>
              <w:rPr>
                <w:color w:val="2C3E50"/>
                <w:sz w:val="20"/>
              </w:rPr>
              <w:t>universities represented in the dataset.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Identify the time span covered by the dataset.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Determine the number of ranking systems included.</w:t>
            </w:r>
          </w:p>
        </w:tc>
      </w:tr>
      <w:tr w:rsidR="002F7FE7"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Identify nations hosting the highest number of universities.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Identify universities with the largest enrollments.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Determine the year with the highest student growth.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Compare indicators and weightage across rankings.</w:t>
            </w:r>
          </w:p>
        </w:tc>
      </w:tr>
      <w:tr w:rsidR="002F7FE7"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Highlight countries producing top-ranked institutions.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Evaluate student-to-staff ratios and resource efficiency.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Track progression in university rankings</w:t>
            </w:r>
            <w:r>
              <w:rPr>
                <w:color w:val="2C3E50"/>
                <w:sz w:val="20"/>
              </w:rPr>
              <w:t xml:space="preserve"> over time.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Identify top-performing universities by score and metric.</w:t>
            </w:r>
          </w:p>
        </w:tc>
      </w:tr>
      <w:tr w:rsidR="002F7FE7"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Recognize emerging education hubs based on performance patterns.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Assess performance in teaching, research, and international engagement.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Analyze changes in international and female stud</w:t>
            </w:r>
            <w:r>
              <w:rPr>
                <w:color w:val="2C3E50"/>
                <w:sz w:val="20"/>
              </w:rPr>
              <w:t>ent representation.</w:t>
            </w:r>
          </w:p>
        </w:tc>
        <w:tc>
          <w:tcPr>
            <w:tcW w:w="2160" w:type="dxa"/>
            <w:shd w:val="clear" w:color="auto" w:fill="E8EEF1"/>
          </w:tcPr>
          <w:p w:rsidR="002F7FE7" w:rsidRDefault="00F56747">
            <w:r>
              <w:rPr>
                <w:color w:val="2C3E50"/>
                <w:sz w:val="20"/>
              </w:rPr>
              <w:t>Reveal which factors most influence overall rankings.</w:t>
            </w:r>
          </w:p>
        </w:tc>
      </w:tr>
    </w:tbl>
    <w:p w:rsidR="002F7FE7" w:rsidRDefault="002F7FE7"/>
    <w:p w:rsidR="002F7FE7" w:rsidRDefault="00F56747">
      <w:pPr>
        <w:pStyle w:val="Heading2"/>
      </w:pPr>
      <w:r>
        <w:t>Conclusion</w:t>
      </w:r>
    </w:p>
    <w:p w:rsidR="002F7FE7" w:rsidRDefault="00F56747">
      <w:r>
        <w:t xml:space="preserve">This MECE breakdown ensures that all dimensions of university performance </w:t>
      </w:r>
      <w:r>
        <w:t xml:space="preserve">temporal, institutional, national, and ranking based </w:t>
      </w:r>
      <w:r>
        <w:t>are examined distinctly yet cohesively. By</w:t>
      </w:r>
      <w:r>
        <w:t xml:space="preserve"> aligning with the Global Higher-Education Insights framework, the analysis produces a complete and visually structured view of international education data.</w:t>
      </w:r>
    </w:p>
    <w:sectPr w:rsidR="002F7F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7FE7"/>
    <w:rsid w:val="00326F90"/>
    <w:rsid w:val="00AA1D8D"/>
    <w:rsid w:val="00B47730"/>
    <w:rsid w:val="00CB0664"/>
    <w:rsid w:val="00F56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26BB4"/>
  <w14:defaultImageDpi w14:val="300"/>
  <w15:docId w15:val="{64392417-0845-4CE2-BF14-A374FC5C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C74EF0-88DA-4193-88C6-E9CA48BEB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2025-11-05T09:26:00Z</dcterms:modified>
  <cp:category/>
</cp:coreProperties>
</file>