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D761" w14:textId="77777777" w:rsidR="00323C86" w:rsidRDefault="009B7D02">
      <w:pPr>
        <w:pStyle w:val="Heading1"/>
      </w:pPr>
      <w:bookmarkStart w:id="0" w:name="X3294e3f437401c053d4cd76d7a0900662ecf1c1"/>
      <w:r>
        <w:t>DMC Delivery GraphRAG Copilot — Feature Overview</w:t>
      </w:r>
    </w:p>
    <w:p w14:paraId="279E1F49" w14:textId="77777777" w:rsidR="00B86111" w:rsidRDefault="009B7D02">
      <w:pPr>
        <w:pStyle w:val="FirstParagraph"/>
      </w:pPr>
      <w:r>
        <w:rPr>
          <w:b/>
          <w:bCs/>
        </w:rPr>
        <w:t>Author:</w:t>
      </w:r>
      <w:r>
        <w:t xml:space="preserve"> Milind Agarwal </w:t>
      </w:r>
    </w:p>
    <w:p w14:paraId="72BBDFFD" w14:textId="77777777" w:rsidR="00B86111" w:rsidRDefault="009B7D02">
      <w:pPr>
        <w:pStyle w:val="FirstParagraph"/>
      </w:pPr>
      <w:r>
        <w:rPr>
          <w:b/>
          <w:bCs/>
        </w:rPr>
        <w:t>Status:</w:t>
      </w:r>
      <w:r>
        <w:t xml:space="preserve"> Working prototype (learning / portfolio project) </w:t>
      </w:r>
    </w:p>
    <w:p w14:paraId="01C189C5" w14:textId="78230676" w:rsidR="00323C86" w:rsidRDefault="009B7D02">
      <w:pPr>
        <w:pStyle w:val="FirstParagraph"/>
      </w:pPr>
      <w:r>
        <w:rPr>
          <w:b/>
          <w:bCs/>
        </w:rPr>
        <w:t>Audience:</w:t>
      </w:r>
      <w:r>
        <w:t xml:space="preserve"> Engineering leadership</w:t>
      </w:r>
    </w:p>
    <w:p w14:paraId="78CF02C2" w14:textId="77777777" w:rsidR="00323C86" w:rsidRDefault="009B7D02">
      <w:pPr>
        <w:pStyle w:val="BlockText"/>
      </w:pPr>
      <w:r>
        <w:rPr>
          <w:b/>
          <w:bCs/>
        </w:rPr>
        <w:t>Scope note.</w:t>
      </w:r>
      <w:r>
        <w:t xml:space="preserve"> This is a self-built prototype using </w:t>
      </w:r>
      <w:r>
        <w:rPr>
          <w:b/>
          <w:bCs/>
        </w:rPr>
        <w:t>only synthetic, sanitized data</w:t>
      </w:r>
      <w:r>
        <w:t xml:space="preserve">. It is not an Ericsson product and contains no real customer, subscriber, node, or confidential information. The intent here is to show a working capability and how the </w:t>
      </w:r>
      <w:r>
        <w:rPr>
          <w:i/>
          <w:iCs/>
        </w:rPr>
        <w:t>pattern</w:t>
      </w:r>
      <w:r>
        <w:t xml:space="preserve"> aligns with autonomous-network goals.</w:t>
      </w:r>
    </w:p>
    <w:p w14:paraId="38A9D586" w14:textId="77777777" w:rsidR="00323C86" w:rsidRDefault="009B7D02">
      <w:r>
        <w:pict w14:anchorId="7FC17D3B">
          <v:rect id="_x0000_i1025" style="width:0;height:1.5pt" o:hralign="center" o:hrstd="t" o:hr="t"/>
        </w:pict>
      </w:r>
    </w:p>
    <w:p w14:paraId="667148A0" w14:textId="77777777" w:rsidR="00323C86" w:rsidRDefault="009B7D02">
      <w:pPr>
        <w:pStyle w:val="Heading2"/>
      </w:pPr>
      <w:bookmarkStart w:id="1" w:name="what-it-is-in-one-line"/>
      <w:r>
        <w:t>1. What it is (in one line)</w:t>
      </w:r>
    </w:p>
    <w:p w14:paraId="22FBFEE3" w14:textId="77777777" w:rsidR="00323C86" w:rsidRDefault="009B7D02">
      <w:pPr>
        <w:pStyle w:val="FirstParagraph"/>
      </w:pPr>
      <w:r>
        <w:t xml:space="preserve">A question-answering and impact-analysis copilot over the </w:t>
      </w:r>
      <w:r>
        <w:rPr>
          <w:b/>
          <w:bCs/>
        </w:rPr>
        <w:t>delivery lifecycle</w:t>
      </w:r>
      <w:r>
        <w:t xml:space="preserve"> of a cloud-native 5G packet core — it answers not just “what does this document say?” but “</w:t>
      </w:r>
      <w:r>
        <w:rPr>
          <w:b/>
          <w:bCs/>
        </w:rPr>
        <w:t>if we upgrade this network function, what breaks, what’s blocked, and what’s the evidence?</w:t>
      </w:r>
      <w:r>
        <w:t>”</w:t>
      </w:r>
    </w:p>
    <w:p w14:paraId="386E1F5C" w14:textId="77777777" w:rsidR="00323C86" w:rsidRDefault="009B7D02">
      <w:pPr>
        <w:pStyle w:val="Heading2"/>
      </w:pPr>
      <w:bookmarkStart w:id="2" w:name="the-problem-it-addresses"/>
      <w:bookmarkEnd w:id="1"/>
      <w:r>
        <w:t>2. The problem it addresses</w:t>
      </w:r>
    </w:p>
    <w:p w14:paraId="73B5DE8A" w14:textId="77777777" w:rsidR="00323C86" w:rsidRDefault="009B7D02">
      <w:pPr>
        <w:pStyle w:val="FirstParagraph"/>
      </w:pPr>
      <w:r>
        <w:t xml:space="preserve">Delivery and operations teams work across many disconnected artifacts — release notes (per CNF), MOPs, CIQs, test catalogs, test results, defect registers, </w:t>
      </w:r>
      <w:r>
        <w:t xml:space="preserve">alarm dictionaries, runbooks, implementation records. The hard questions are </w:t>
      </w:r>
      <w:r>
        <w:rPr>
          <w:b/>
          <w:bCs/>
        </w:rPr>
        <w:t>relationship questions</w:t>
      </w:r>
      <w:r>
        <w:t xml:space="preserve"> that span several of those documents at once:</w:t>
      </w:r>
    </w:p>
    <w:p w14:paraId="23275756" w14:textId="77777777" w:rsidR="00323C86" w:rsidRDefault="009B7D02">
      <w:pPr>
        <w:pStyle w:val="Compact"/>
        <w:numPr>
          <w:ilvl w:val="0"/>
          <w:numId w:val="2"/>
        </w:numPr>
      </w:pPr>
      <w:r>
        <w:t>Which test cases and documents are impacted by a given CNF upgrade?</w:t>
      </w:r>
    </w:p>
    <w:p w14:paraId="374E33D1" w14:textId="77777777" w:rsidR="00323C86" w:rsidRDefault="009B7D02">
      <w:pPr>
        <w:pStyle w:val="Compact"/>
        <w:numPr>
          <w:ilvl w:val="0"/>
          <w:numId w:val="2"/>
        </w:numPr>
      </w:pPr>
      <w:r>
        <w:t>What is blocking FOA readiness, and why?</w:t>
      </w:r>
    </w:p>
    <w:p w14:paraId="4E26ADE5" w14:textId="77777777" w:rsidR="00323C86" w:rsidRDefault="009B7D02">
      <w:pPr>
        <w:pStyle w:val="Compact"/>
        <w:numPr>
          <w:ilvl w:val="0"/>
          <w:numId w:val="2"/>
        </w:numPr>
      </w:pPr>
      <w:r>
        <w:t>Which release note documents a specific defect fix, and is that version in the certified set?</w:t>
      </w:r>
    </w:p>
    <w:p w14:paraId="3CEA0348" w14:textId="77777777" w:rsidR="00323C86" w:rsidRDefault="009B7D02">
      <w:pPr>
        <w:pStyle w:val="FirstParagraph"/>
      </w:pPr>
      <w:r>
        <w:t xml:space="preserve">A plain document search (standard RAG) retrieves </w:t>
      </w:r>
      <w:r>
        <w:rPr>
          <w:i/>
          <w:iCs/>
        </w:rPr>
        <w:t>similar text</w:t>
      </w:r>
      <w:r>
        <w:t xml:space="preserve">. It cannot </w:t>
      </w:r>
      <w:r>
        <w:rPr>
          <w:i/>
          <w:iCs/>
        </w:rPr>
        <w:t>traverse dependencies</w:t>
      </w:r>
      <w:r>
        <w:t xml:space="preserve">, because the answer is rarely in a single paragraph — it is in the </w:t>
      </w:r>
      <w:r>
        <w:rPr>
          <w:b/>
          <w:bCs/>
        </w:rPr>
        <w:t>connections</w:t>
      </w:r>
      <w:r>
        <w:t xml:space="preserve"> between artifacts.</w:t>
      </w:r>
    </w:p>
    <w:p w14:paraId="788CB9DE" w14:textId="77777777" w:rsidR="00323C86" w:rsidRDefault="009B7D02">
      <w:pPr>
        <w:pStyle w:val="Heading2"/>
      </w:pPr>
      <w:bookmarkStart w:id="3" w:name="what-was-built"/>
      <w:bookmarkEnd w:id="2"/>
      <w:r>
        <w:t>3. What was built</w:t>
      </w:r>
    </w:p>
    <w:p w14:paraId="49C37C40" w14:textId="77777777" w:rsidR="00323C86" w:rsidRDefault="009B7D02">
      <w:pPr>
        <w:pStyle w:val="FirstParagraph"/>
      </w:pPr>
      <w:r>
        <w:t>Two complementary retrieval layers over the same corpus: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6"/>
        <w:gridCol w:w="2720"/>
        <w:gridCol w:w="5180"/>
      </w:tblGrid>
      <w:tr w:rsidR="00323C86" w14:paraId="6E9E7B6D" w14:textId="77777777" w:rsidTr="00323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826DCD" w14:textId="77777777" w:rsidR="00323C86" w:rsidRDefault="009B7D02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05BB476A" w14:textId="77777777" w:rsidR="00323C86" w:rsidRDefault="009B7D02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7CAF5D62" w14:textId="77777777" w:rsidR="00323C86" w:rsidRDefault="009B7D02">
            <w:pPr>
              <w:pStyle w:val="Compact"/>
            </w:pPr>
            <w:r>
              <w:t>What it does</w:t>
            </w:r>
          </w:p>
        </w:tc>
      </w:tr>
      <w:tr w:rsidR="00323C86" w14:paraId="5FEC4D3D" w14:textId="77777777">
        <w:tc>
          <w:tcPr>
            <w:tcW w:w="0" w:type="auto"/>
          </w:tcPr>
          <w:p w14:paraId="50F1E421" w14:textId="77777777" w:rsidR="00323C86" w:rsidRDefault="009B7D02">
            <w:pPr>
              <w:pStyle w:val="Compact"/>
            </w:pPr>
            <w:r>
              <w:rPr>
                <w:b/>
                <w:bCs/>
              </w:rPr>
              <w:t>Vector RAG</w:t>
            </w:r>
          </w:p>
        </w:tc>
        <w:tc>
          <w:tcPr>
            <w:tcW w:w="0" w:type="auto"/>
          </w:tcPr>
          <w:p w14:paraId="6AC9B69A" w14:textId="77777777" w:rsidR="00323C86" w:rsidRDefault="009B7D02">
            <w:pPr>
              <w:pStyle w:val="Compact"/>
            </w:pPr>
            <w:r>
              <w:t>Chroma + local embeddings (BGE), pluggable LLM</w:t>
            </w:r>
          </w:p>
        </w:tc>
        <w:tc>
          <w:tcPr>
            <w:tcW w:w="0" w:type="auto"/>
          </w:tcPr>
          <w:p w14:paraId="576F325F" w14:textId="77777777" w:rsidR="00323C86" w:rsidRDefault="009B7D02">
            <w:pPr>
              <w:pStyle w:val="Compact"/>
            </w:pPr>
            <w:r>
              <w:t xml:space="preserve">Retrieves relevant passages and (optionally) synthesizes a grounded, </w:t>
            </w:r>
            <w:r>
              <w:rPr>
                <w:b/>
                <w:bCs/>
              </w:rPr>
              <w:t>cited</w:t>
            </w:r>
            <w:r>
              <w:t xml:space="preserve"> answer</w:t>
            </w:r>
          </w:p>
        </w:tc>
      </w:tr>
      <w:tr w:rsidR="00323C86" w14:paraId="1A69C1A5" w14:textId="77777777">
        <w:tc>
          <w:tcPr>
            <w:tcW w:w="0" w:type="auto"/>
          </w:tcPr>
          <w:p w14:paraId="075BF820" w14:textId="77777777" w:rsidR="00323C86" w:rsidRDefault="009B7D02">
            <w:pPr>
              <w:pStyle w:val="Compact"/>
            </w:pPr>
            <w:r>
              <w:rPr>
                <w:b/>
                <w:bCs/>
              </w:rPr>
              <w:t xml:space="preserve">Knowledge </w:t>
            </w:r>
            <w:r>
              <w:rPr>
                <w:b/>
                <w:bCs/>
              </w:rPr>
              <w:lastRenderedPageBreak/>
              <w:t>graph</w:t>
            </w:r>
          </w:p>
        </w:tc>
        <w:tc>
          <w:tcPr>
            <w:tcW w:w="0" w:type="auto"/>
          </w:tcPr>
          <w:p w14:paraId="6E4AAABB" w14:textId="77777777" w:rsidR="00323C86" w:rsidRDefault="009B7D02">
            <w:pPr>
              <w:pStyle w:val="Compact"/>
            </w:pPr>
            <w:r>
              <w:lastRenderedPageBreak/>
              <w:t xml:space="preserve">In-process graph </w:t>
            </w:r>
            <w:r>
              <w:lastRenderedPageBreak/>
              <w:t>(NetworkX), file-persisted</w:t>
            </w:r>
          </w:p>
        </w:tc>
        <w:tc>
          <w:tcPr>
            <w:tcW w:w="0" w:type="auto"/>
          </w:tcPr>
          <w:p w14:paraId="4184B03C" w14:textId="77777777" w:rsidR="00323C86" w:rsidRDefault="009B7D02">
            <w:pPr>
              <w:pStyle w:val="Compact"/>
            </w:pPr>
            <w:r>
              <w:lastRenderedPageBreak/>
              <w:t xml:space="preserve">Models artifacts as typed nodes and their </w:t>
            </w:r>
            <w:r>
              <w:lastRenderedPageBreak/>
              <w:t xml:space="preserve">relationships as edges; enables </w:t>
            </w:r>
            <w:r>
              <w:rPr>
                <w:b/>
                <w:bCs/>
              </w:rPr>
              <w:t>dependency/impact traversal</w:t>
            </w:r>
          </w:p>
        </w:tc>
      </w:tr>
    </w:tbl>
    <w:p w14:paraId="6636943B" w14:textId="77777777" w:rsidR="00323C86" w:rsidRDefault="009B7D02">
      <w:pPr>
        <w:pStyle w:val="BodyText"/>
      </w:pPr>
      <w:r>
        <w:lastRenderedPageBreak/>
        <w:t>Key capabilities delivered:</w:t>
      </w:r>
    </w:p>
    <w:p w14:paraId="56E18B9A" w14:textId="77777777" w:rsidR="00323C86" w:rsidRDefault="009B7D02">
      <w:pPr>
        <w:pStyle w:val="Compact"/>
        <w:numPr>
          <w:ilvl w:val="0"/>
          <w:numId w:val="3"/>
        </w:numPr>
      </w:pPr>
      <w:r>
        <w:rPr>
          <w:b/>
          <w:bCs/>
        </w:rPr>
        <w:t>GraphRAG hybrid answering</w:t>
      </w:r>
      <w:r>
        <w:t xml:space="preserve"> </w:t>
      </w:r>
      <w:r>
        <w:t xml:space="preserve">— vector retrieval </w:t>
      </w:r>
      <w:r>
        <w:rPr>
          <w:i/>
          <w:iCs/>
        </w:rPr>
        <w:t>plus</w:t>
      </w:r>
      <w:r>
        <w:t xml:space="preserve"> graph traversal, so answers include the dependency chain with per-source citations.</w:t>
      </w:r>
    </w:p>
    <w:p w14:paraId="25B56990" w14:textId="77777777" w:rsidR="00323C86" w:rsidRDefault="009B7D02">
      <w:pPr>
        <w:pStyle w:val="Compact"/>
        <w:numPr>
          <w:ilvl w:val="0"/>
          <w:numId w:val="3"/>
        </w:numPr>
      </w:pPr>
      <w:r>
        <w:rPr>
          <w:b/>
          <w:bCs/>
        </w:rPr>
        <w:t>Impact Explorer</w:t>
      </w:r>
      <w:r>
        <w:t xml:space="preserve"> — pick any entity (a test case, defect, CNF, release note) and see everything connected to it across the lifecycle, rendered as an </w:t>
      </w:r>
      <w:r>
        <w:rPr>
          <w:b/>
          <w:bCs/>
        </w:rPr>
        <w:t>interactive graph</w:t>
      </w:r>
      <w:r>
        <w:t>.</w:t>
      </w:r>
    </w:p>
    <w:p w14:paraId="3B9F9241" w14:textId="77777777" w:rsidR="00323C86" w:rsidRDefault="009B7D02">
      <w:pPr>
        <w:pStyle w:val="Compact"/>
        <w:numPr>
          <w:ilvl w:val="0"/>
          <w:numId w:val="3"/>
        </w:numPr>
      </w:pPr>
      <w:r>
        <w:rPr>
          <w:b/>
          <w:bCs/>
        </w:rPr>
        <w:t>Per-CNF release-note modeling</w:t>
      </w:r>
      <w:r>
        <w:t xml:space="preserve"> — mirrors reality, where each CNF ships its own release note on its own version cadence, and the “release” is an </w:t>
      </w:r>
      <w:r>
        <w:rPr>
          <w:b/>
          <w:bCs/>
        </w:rPr>
        <w:t>assembled integration/compatibility view</w:t>
      </w:r>
      <w:r>
        <w:t xml:space="preserve">. This unlocks cross-CNF </w:t>
      </w:r>
      <w:r>
        <w:t>questions (certified-together, minimum-version) a single-note model can’t answer.</w:t>
      </w:r>
    </w:p>
    <w:p w14:paraId="73BA9264" w14:textId="77777777" w:rsidR="00323C86" w:rsidRDefault="009B7D02">
      <w:pPr>
        <w:pStyle w:val="Compact"/>
        <w:numPr>
          <w:ilvl w:val="0"/>
          <w:numId w:val="3"/>
        </w:numPr>
      </w:pPr>
      <w:r>
        <w:rPr>
          <w:b/>
          <w:bCs/>
        </w:rPr>
        <w:t>Browser GUI</w:t>
      </w:r>
      <w:r>
        <w:t xml:space="preserve"> — no coding needed to use it; a provider selector, a “use knowledge graph” toggle, answers with sources and a confidence signal.</w:t>
      </w:r>
    </w:p>
    <w:p w14:paraId="578EEACE" w14:textId="77777777" w:rsidR="00323C86" w:rsidRDefault="009B7D02">
      <w:pPr>
        <w:pStyle w:val="Compact"/>
        <w:numPr>
          <w:ilvl w:val="0"/>
          <w:numId w:val="3"/>
        </w:numPr>
      </w:pPr>
      <w:r>
        <w:rPr>
          <w:b/>
          <w:bCs/>
        </w:rPr>
        <w:t>Safety by design</w:t>
      </w:r>
      <w:r>
        <w:t xml:space="preserve"> — synthetic-only data, prompt-injection fencing of retrieved content, and a local-first option (no data leaves the machine).</w:t>
      </w:r>
    </w:p>
    <w:p w14:paraId="20D2D101" w14:textId="77777777" w:rsidR="00323C86" w:rsidRDefault="009B7D02">
      <w:pPr>
        <w:pStyle w:val="FirstParagraph"/>
      </w:pPr>
      <w:r>
        <w:rPr>
          <w:b/>
          <w:bCs/>
        </w:rPr>
        <w:t>Anchor demonstration:</w:t>
      </w:r>
      <w:r>
        <w:t xml:space="preserve"> “Why did an acceptance test fail after the cSAEGW-C upgrade, and what fix is supported by the evidence?” </w:t>
      </w:r>
      <w:r>
        <w:t>The system traces the chain — upgrade → event-parity test failure → triggering defect → raised alarm → FOA gate blocked → Production hold — and cites the specific documents for each step.</w:t>
      </w:r>
    </w:p>
    <w:p w14:paraId="52A8E9FB" w14:textId="77777777" w:rsidR="00323C86" w:rsidRDefault="009B7D02">
      <w:pPr>
        <w:pStyle w:val="Heading2"/>
      </w:pPr>
      <w:bookmarkStart w:id="4" w:name="X6d37a53b0384071600d01bc3dd19f26f56b4750"/>
      <w:bookmarkEnd w:id="3"/>
      <w:r>
        <w:t>4. Why this matters for the Autonomous Network journey</w:t>
      </w:r>
    </w:p>
    <w:p w14:paraId="35251B20" w14:textId="77777777" w:rsidR="00323C86" w:rsidRDefault="009B7D02">
      <w:pPr>
        <w:pStyle w:val="FirstParagraph"/>
      </w:pPr>
      <w:r>
        <w:t xml:space="preserve">Ericsson frames autonomous networks around </w:t>
      </w:r>
      <w:r>
        <w:rPr>
          <w:b/>
          <w:bCs/>
        </w:rPr>
        <w:t>intent-driven, closed-loop operations</w:t>
      </w:r>
      <w:r>
        <w:t xml:space="preserve"> across increasing levels of automation. Reaching higher autonomy levels depends on machines being able to </w:t>
      </w:r>
      <w:r>
        <w:rPr>
          <w:b/>
          <w:bCs/>
        </w:rPr>
        <w:t>reason over relationships</w:t>
      </w:r>
      <w:r>
        <w:t xml:space="preserve"> between </w:t>
      </w:r>
      <w:r>
        <w:t xml:space="preserve">network state, changes, tests, faults, and knowledge — not just store documents. This prototype demonstrates that reasoning pattern on the </w:t>
      </w:r>
      <w:r>
        <w:rPr>
          <w:b/>
          <w:bCs/>
        </w:rPr>
        <w:t>delivery/assurance</w:t>
      </w:r>
      <w:r>
        <w:t xml:space="preserve"> side: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2"/>
        <w:gridCol w:w="7284"/>
      </w:tblGrid>
      <w:tr w:rsidR="00323C86" w14:paraId="1729B55D" w14:textId="77777777" w:rsidTr="00323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8E6567" w14:textId="77777777" w:rsidR="00323C86" w:rsidRDefault="009B7D02">
            <w:pPr>
              <w:pStyle w:val="Compact"/>
            </w:pPr>
            <w:r>
              <w:t>Autonomous-network capability</w:t>
            </w:r>
          </w:p>
        </w:tc>
        <w:tc>
          <w:tcPr>
            <w:tcW w:w="0" w:type="auto"/>
          </w:tcPr>
          <w:p w14:paraId="50D504E5" w14:textId="77777777" w:rsidR="00323C86" w:rsidRDefault="009B7D02">
            <w:pPr>
              <w:pStyle w:val="Compact"/>
            </w:pPr>
            <w:r>
              <w:t>How this prototype contributes</w:t>
            </w:r>
          </w:p>
        </w:tc>
      </w:tr>
      <w:tr w:rsidR="00323C86" w14:paraId="18A8F32F" w14:textId="77777777">
        <w:tc>
          <w:tcPr>
            <w:tcW w:w="0" w:type="auto"/>
          </w:tcPr>
          <w:p w14:paraId="361F610A" w14:textId="77777777" w:rsidR="00323C86" w:rsidRDefault="009B7D02">
            <w:pPr>
              <w:pStyle w:val="Compact"/>
            </w:pPr>
            <w:r>
              <w:rPr>
                <w:b/>
                <w:bCs/>
              </w:rPr>
              <w:t>Knowledge-driven reasoning</w:t>
            </w:r>
          </w:p>
        </w:tc>
        <w:tc>
          <w:tcPr>
            <w:tcW w:w="0" w:type="auto"/>
          </w:tcPr>
          <w:p w14:paraId="6CDA9592" w14:textId="77777777" w:rsidR="00323C86" w:rsidRDefault="009B7D02">
            <w:pPr>
              <w:pStyle w:val="Compact"/>
            </w:pPr>
            <w:r>
              <w:t>A knowledge graph turns scattered delivery artifacts into a connected, queryable model of dependencies — a building block for machine reasoning.</w:t>
            </w:r>
          </w:p>
        </w:tc>
      </w:tr>
      <w:tr w:rsidR="00323C86" w14:paraId="61F691D6" w14:textId="77777777">
        <w:tc>
          <w:tcPr>
            <w:tcW w:w="0" w:type="auto"/>
          </w:tcPr>
          <w:p w14:paraId="24861057" w14:textId="77777777" w:rsidR="00323C86" w:rsidRDefault="009B7D02">
            <w:pPr>
              <w:pStyle w:val="Compact"/>
            </w:pPr>
            <w:r>
              <w:rPr>
                <w:b/>
                <w:bCs/>
              </w:rPr>
              <w:t>Closed-loop assurance</w:t>
            </w:r>
          </w:p>
        </w:tc>
        <w:tc>
          <w:tcPr>
            <w:tcW w:w="0" w:type="auto"/>
          </w:tcPr>
          <w:p w14:paraId="462DB146" w14:textId="77777777" w:rsidR="00323C86" w:rsidRDefault="009B7D02">
            <w:pPr>
              <w:pStyle w:val="Compact"/>
            </w:pPr>
            <w:r>
              <w:t xml:space="preserve">The anchor flow (change → test failure → root-cause defect → recommended fix, with evidence) is exactly the </w:t>
            </w:r>
            <w:r>
              <w:rPr>
                <w:i/>
                <w:iCs/>
              </w:rPr>
              <w:t>observe → analyze → decide</w:t>
            </w:r>
            <w:r>
              <w:t xml:space="preserve"> portion of a closed loop, applied to acceptance/FOA.</w:t>
            </w:r>
          </w:p>
        </w:tc>
      </w:tr>
      <w:tr w:rsidR="00323C86" w14:paraId="65DE4711" w14:textId="77777777">
        <w:tc>
          <w:tcPr>
            <w:tcW w:w="0" w:type="auto"/>
          </w:tcPr>
          <w:p w14:paraId="4B459C8D" w14:textId="77777777" w:rsidR="00323C86" w:rsidRDefault="009B7D02">
            <w:pPr>
              <w:pStyle w:val="Compact"/>
            </w:pPr>
            <w:r>
              <w:rPr>
                <w:b/>
                <w:bCs/>
              </w:rPr>
              <w:t>Impact &amp; change analysis</w:t>
            </w:r>
          </w:p>
        </w:tc>
        <w:tc>
          <w:tcPr>
            <w:tcW w:w="0" w:type="auto"/>
          </w:tcPr>
          <w:p w14:paraId="4893B6F2" w14:textId="77777777" w:rsidR="00323C86" w:rsidRDefault="009B7D02">
            <w:pPr>
              <w:pStyle w:val="Compact"/>
            </w:pPr>
            <w:r>
              <w:t>“What is affected if we change X?” is a prerequisite for safe autonomous change execution; the Impact Explorer shows that traversal directly.</w:t>
            </w:r>
          </w:p>
        </w:tc>
      </w:tr>
      <w:tr w:rsidR="00323C86" w14:paraId="30497CFD" w14:textId="77777777">
        <w:tc>
          <w:tcPr>
            <w:tcW w:w="0" w:type="auto"/>
          </w:tcPr>
          <w:p w14:paraId="1B593942" w14:textId="77777777" w:rsidR="00323C86" w:rsidRDefault="009B7D02">
            <w:pPr>
              <w:pStyle w:val="Compact"/>
            </w:pPr>
            <w:r>
              <w:rPr>
                <w:b/>
                <w:bCs/>
              </w:rPr>
              <w:t>Intent / readiness gating</w:t>
            </w:r>
          </w:p>
        </w:tc>
        <w:tc>
          <w:tcPr>
            <w:tcW w:w="0" w:type="auto"/>
          </w:tcPr>
          <w:p w14:paraId="48F669E6" w14:textId="77777777" w:rsidR="00323C86" w:rsidRDefault="009B7D02">
            <w:pPr>
              <w:pStyle w:val="Compact"/>
            </w:pPr>
            <w:r>
              <w:t>Modeling gates (lab → FOA → Production) and what blocks them is a step toward machine-checkable readiness rather than manual sign-</w:t>
            </w:r>
            <w:r>
              <w:lastRenderedPageBreak/>
              <w:t>off.</w:t>
            </w:r>
          </w:p>
        </w:tc>
      </w:tr>
      <w:tr w:rsidR="00323C86" w14:paraId="1F96056B" w14:textId="77777777">
        <w:tc>
          <w:tcPr>
            <w:tcW w:w="0" w:type="auto"/>
          </w:tcPr>
          <w:p w14:paraId="0E4CC6FC" w14:textId="77777777" w:rsidR="00323C86" w:rsidRDefault="009B7D02">
            <w:pPr>
              <w:pStyle w:val="Compact"/>
            </w:pPr>
            <w:r>
              <w:rPr>
                <w:b/>
                <w:bCs/>
              </w:rPr>
              <w:lastRenderedPageBreak/>
              <w:t>Explainability &amp; trust</w:t>
            </w:r>
          </w:p>
        </w:tc>
        <w:tc>
          <w:tcPr>
            <w:tcW w:w="0" w:type="auto"/>
          </w:tcPr>
          <w:p w14:paraId="327A798E" w14:textId="77777777" w:rsidR="00323C86" w:rsidRDefault="009B7D02">
            <w:pPr>
              <w:pStyle w:val="Compact"/>
            </w:pPr>
            <w:r>
              <w:t xml:space="preserve">Every answer is </w:t>
            </w:r>
            <w:r>
              <w:rPr>
                <w:b/>
                <w:bCs/>
              </w:rPr>
              <w:t>grounded and cited</w:t>
            </w:r>
            <w:r>
              <w:t>, which is essential for operator trust in any autonomous recommendation.</w:t>
            </w:r>
          </w:p>
        </w:tc>
      </w:tr>
    </w:tbl>
    <w:p w14:paraId="595AA2A0" w14:textId="77777777" w:rsidR="00323C86" w:rsidRDefault="009B7D02">
      <w:pPr>
        <w:pStyle w:val="BodyText"/>
      </w:pPr>
      <w:r>
        <w:t xml:space="preserve">In short: autonomous operation needs a </w:t>
      </w:r>
      <w:r>
        <w:rPr>
          <w:b/>
          <w:bCs/>
        </w:rPr>
        <w:t>connected knowledge substrate</w:t>
      </w:r>
      <w:r>
        <w:t xml:space="preserve"> and </w:t>
      </w:r>
      <w:r>
        <w:rPr>
          <w:b/>
          <w:bCs/>
        </w:rPr>
        <w:t>explainable reasoning</w:t>
      </w:r>
      <w:r>
        <w:t xml:space="preserve"> over it. This prototype is a small, concrete demonstration of that substrate for the delivery and acceptance domain.</w:t>
      </w:r>
    </w:p>
    <w:p w14:paraId="051DBC47" w14:textId="77777777" w:rsidR="00323C86" w:rsidRDefault="009B7D02">
      <w:pPr>
        <w:pStyle w:val="Heading2"/>
      </w:pPr>
      <w:bookmarkStart w:id="5" w:name="where-it-could-go-if-pursued"/>
      <w:bookmarkEnd w:id="4"/>
      <w:r>
        <w:t>5. Where it could go (if pursued)</w:t>
      </w:r>
    </w:p>
    <w:p w14:paraId="60CCB5B3" w14:textId="77777777" w:rsidR="00323C86" w:rsidRDefault="009B7D02">
      <w:pPr>
        <w:pStyle w:val="Compact"/>
        <w:numPr>
          <w:ilvl w:val="0"/>
          <w:numId w:val="4"/>
        </w:numPr>
      </w:pPr>
      <w:r>
        <w:rPr>
          <w:b/>
          <w:bCs/>
        </w:rPr>
        <w:t>Real data (private, on-prem):</w:t>
      </w:r>
      <w:r>
        <w:t xml:space="preserve"> ingest real artifacts (PDF/Word/Excel CIQs, Jira/ALM/ServiceNow exports) with strict sanitization/PII scrubbing; real data stays local and never leaves the environment.</w:t>
      </w:r>
    </w:p>
    <w:p w14:paraId="28637FED" w14:textId="77777777" w:rsidR="00323C86" w:rsidRDefault="009B7D02">
      <w:pPr>
        <w:pStyle w:val="Compact"/>
        <w:numPr>
          <w:ilvl w:val="0"/>
          <w:numId w:val="4"/>
        </w:numPr>
      </w:pPr>
      <w:r>
        <w:rPr>
          <w:b/>
          <w:bCs/>
        </w:rPr>
        <w:t>Live signals:</w:t>
      </w:r>
      <w:r>
        <w:t xml:space="preserve"> connect to alarm/fault and change-management systems so the graph reflects current state, moving from static documents toward a live closed loop.</w:t>
      </w:r>
    </w:p>
    <w:p w14:paraId="0C2F7028" w14:textId="77777777" w:rsidR="00323C86" w:rsidRDefault="009B7D02">
      <w:pPr>
        <w:pStyle w:val="Compact"/>
        <w:numPr>
          <w:ilvl w:val="0"/>
          <w:numId w:val="4"/>
        </w:numPr>
      </w:pPr>
      <w:r>
        <w:rPr>
          <w:b/>
          <w:bCs/>
        </w:rPr>
        <w:t>Quantified value:</w:t>
      </w:r>
      <w:r>
        <w:t xml:space="preserve"> an evaluation harness comparing standard RAG vs. </w:t>
      </w:r>
      <w:r>
        <w:t>graph-augmented answers, to measure the accuracy gain on relationship questions.</w:t>
      </w:r>
    </w:p>
    <w:p w14:paraId="12EE65D5" w14:textId="77777777" w:rsidR="00323C86" w:rsidRDefault="009B7D02">
      <w:pPr>
        <w:pStyle w:val="Compact"/>
        <w:numPr>
          <w:ilvl w:val="0"/>
          <w:numId w:val="4"/>
        </w:numPr>
      </w:pPr>
      <w:r>
        <w:rPr>
          <w:b/>
          <w:bCs/>
        </w:rPr>
        <w:t>Deeper compatibility modeling:</w:t>
      </w:r>
      <w:r>
        <w:t xml:space="preserve"> multi-release certified-set comparison (“what changed between certified version sets”).</w:t>
      </w:r>
    </w:p>
    <w:p w14:paraId="5EC551CD" w14:textId="77777777" w:rsidR="00323C86" w:rsidRDefault="009B7D02">
      <w:pPr>
        <w:pStyle w:val="Heading2"/>
      </w:pPr>
      <w:bookmarkStart w:id="6" w:name="current-status"/>
      <w:bookmarkEnd w:id="5"/>
      <w:r>
        <w:t>6. Current status</w:t>
      </w:r>
    </w:p>
    <w:p w14:paraId="52E012DE" w14:textId="77777777" w:rsidR="00323C86" w:rsidRDefault="009B7D02">
      <w:pPr>
        <w:pStyle w:val="FirstParagraph"/>
      </w:pPr>
      <w:r>
        <w:t xml:space="preserve">A working end-to-end prototype: corpus ingested, knowledge graph built (dozens of nodes and relationships over the delivery lifecycle), hybrid answering and the interactive Impact Explorer both functional via a browser GUI. </w:t>
      </w:r>
      <w:r>
        <w:t>Built reusing a prior document-RAG project, with the graph layer and GUI added on top. Code and synthetic data are in a self-contained repository.</w:t>
      </w:r>
    </w:p>
    <w:p w14:paraId="7940AFFA" w14:textId="77777777" w:rsidR="00323C86" w:rsidRDefault="009B7D02">
      <w:r>
        <w:pict w14:anchorId="3CEE420F">
          <v:rect id="_x0000_i1026" style="width:0;height:1.5pt" o:hralign="center" o:hrstd="t" o:hr="t"/>
        </w:pict>
      </w:r>
    </w:p>
    <w:p w14:paraId="41AC0826" w14:textId="77777777" w:rsidR="00323C86" w:rsidRDefault="009B7D02">
      <w:pPr>
        <w:pStyle w:val="FirstParagraph"/>
      </w:pPr>
      <w:r>
        <w:rPr>
          <w:i/>
          <w:iCs/>
        </w:rPr>
        <w:t>Prepared for internal review. Prototype built on personal time with synthetic data for learning and demonstration purposes.</w:t>
      </w:r>
      <w:bookmarkEnd w:id="0"/>
      <w:bookmarkEnd w:id="6"/>
    </w:p>
    <w:sectPr w:rsidR="00323C8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AE4E" w14:textId="77777777" w:rsidR="009B7D02" w:rsidRDefault="009B7D02">
      <w:pPr>
        <w:spacing w:after="0"/>
      </w:pPr>
      <w:r>
        <w:separator/>
      </w:r>
    </w:p>
  </w:endnote>
  <w:endnote w:type="continuationSeparator" w:id="0">
    <w:p w14:paraId="4CB81C2D" w14:textId="77777777" w:rsidR="009B7D02" w:rsidRDefault="009B7D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53AE" w14:textId="77777777" w:rsidR="009B7D02" w:rsidRDefault="009B7D02">
      <w:r>
        <w:separator/>
      </w:r>
    </w:p>
  </w:footnote>
  <w:footnote w:type="continuationSeparator" w:id="0">
    <w:p w14:paraId="047FEA2B" w14:textId="77777777" w:rsidR="009B7D02" w:rsidRDefault="009B7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1EBC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EB49F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61133">
    <w:abstractNumId w:val="0"/>
  </w:num>
  <w:num w:numId="2" w16cid:durableId="539633435">
    <w:abstractNumId w:val="1"/>
  </w:num>
  <w:num w:numId="3" w16cid:durableId="1965846104">
    <w:abstractNumId w:val="1"/>
  </w:num>
  <w:num w:numId="4" w16cid:durableId="148531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C86"/>
    <w:rsid w:val="00323C86"/>
    <w:rsid w:val="009B7D02"/>
    <w:rsid w:val="00B86111"/>
    <w:rsid w:val="00D4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DAA9"/>
  <w15:docId w15:val="{3CD343A2-243E-45A2-8EE2-608FB282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Milind Agarwal</cp:lastModifiedBy>
  <cp:revision>2</cp:revision>
  <dcterms:created xsi:type="dcterms:W3CDTF">2026-10-21T17:54:00Z</dcterms:created>
  <dcterms:modified xsi:type="dcterms:W3CDTF">2026-10-21T18:44:00Z</dcterms:modified>
</cp:coreProperties>
</file>