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dmc-delivery-graphrag-document-inventory"/>
    <w:p>
      <w:pPr>
        <w:pStyle w:val="Heading1"/>
      </w:pPr>
      <w:r>
        <w:t xml:space="preserve">DMC Delivery GraphRAG — Document Inventory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telco-delivery-graphrag (learning/portfolio GraphRAG over a 5G/telecom DMC delivery lifecycle)</w:t>
      </w:r>
      <w:r>
        <w:t xml:space="preserve"> </w:t>
      </w:r>
      <w:r>
        <w:rPr>
          <w:bCs/>
          <w:b/>
        </w:rPr>
        <w:t xml:space="preserve">Purpose of this document:</w:t>
      </w:r>
      <w:r>
        <w:t xml:space="preserve"> </w:t>
      </w:r>
      <w:r>
        <w:t xml:space="preserve">A complete list of the documents the project uses today, plus the document types the model expects or anticipates — so real-world comparative documents can be scouted.</w:t>
      </w:r>
    </w:p>
    <w:p>
      <w:pPr>
        <w:pStyle w:val="BlockText"/>
      </w:pPr>
      <w:r>
        <w:t xml:space="preserve">Note on data policy: Only synthetic/sanitized data lives in the repo (</w:t>
      </w:r>
      <w:r>
        <w:rPr>
          <w:rStyle w:val="VerbatimChar"/>
        </w:rPr>
        <w:t xml:space="preserve">data/synthetic/</w:t>
      </w:r>
      <w:r>
        <w:t xml:space="preserve">). Any real documents must go in the git-ignored</w:t>
      </w:r>
      <w:r>
        <w:t xml:space="preserve"> </w:t>
      </w:r>
      <w:r>
        <w:rPr>
          <w:rStyle w:val="VerbatimChar"/>
        </w:rPr>
        <w:t xml:space="preserve">data/private/</w:t>
      </w:r>
      <w:r>
        <w:t xml:space="preserve"> </w:t>
      </w:r>
      <w:r>
        <w:t xml:space="preserve">and must never be committed.</w:t>
      </w:r>
    </w:p>
    <w:p>
      <w:r>
        <w:pict>
          <v:rect style="width:0;height:1.5pt" o:hralign="center" o:hrstd="t" o:hr="t"/>
        </w:pict>
      </w:r>
    </w:p>
    <w:bookmarkStart w:id="20" w:name="X767e2d9247761a4ffe7f9f89c818b36821b8e98"/>
    <w:p>
      <w:pPr>
        <w:pStyle w:val="Heading2"/>
      </w:pPr>
      <w:r>
        <w:t xml:space="preserve">Part 1 — Documents that exist today (the 10 in</w:t>
      </w:r>
      <w:r>
        <w:t xml:space="preserve"> </w:t>
      </w:r>
      <w:r>
        <w:rPr>
          <w:rStyle w:val="VerbatimChar"/>
        </w:rPr>
        <w:t xml:space="preserve">data/synthetic/</w:t>
      </w:r>
      <w:r>
        <w:t xml:space="preserve">)</w:t>
      </w:r>
    </w:p>
    <w:p>
      <w:pPr>
        <w:pStyle w:val="FirstParagraph"/>
      </w:pPr>
      <w:r>
        <w:t xml:space="preserve">These are the 10 synthetic files currently ingested and modeled into the knowledge graph.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it carries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comparative to look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release-note-dmc-24.3.md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 versions, features, known issues, required procedures, gating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CNF/program release notes, software bulletins, CPI docs (PDF)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mop-5521-upgrade-csaegw-c.md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 steps, prerequisites, rollback, post-checks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of Procedure / change runbook (ServiceNow/Remedy change record, Word/PDF)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ciq-8807-foa-parameters.md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Per-environment parameters (pool size, heartbeat, policy profile, endpoints)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Information Questionnaire — usually Excel/XLSX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nir-3310-implementation-record.md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topology, NFs per env, interfaces, environment progression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Implementation Record / As-Built / LLD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hld-packet-core-24.x.md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NFs, interfaces, environment model, delivery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High-Level Design / solution design (Word/PDF + Visio)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aat-test-results-dmc-24.3.md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 per test case, failure analysis, FOA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AAT/UAT acceptance test report (ALM/qTest/Xray/TestRail export, Excel/PDF)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test-case-catalog-dmc-24.3.md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cases with validates/preconditions/pass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plan / test repository (ALM/Xray/TestRail, Excel)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defect-register-dmc-24.3.md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Defects with severity, status, fixed_in,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Jira / ServiceNow / vendor trouble-ticket (TR/CSR)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alarm-catalog-packet-core.md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 definitions, causes, first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alarm/FM dictionary, or live EMS/NMS alarm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runbook-77-sx-event-parity.md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When-to-use, diagnosis steps, recommended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 runbook / KB article / SOP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Xaf0ea177c729855044996c0bba308190f421196"/>
    <w:p>
      <w:pPr>
        <w:pStyle w:val="Heading2"/>
      </w:pPr>
      <w:r>
        <w:t xml:space="preserve">Part 2 — Document types the model expects but does not have yet</w:t>
      </w:r>
    </w:p>
    <w:p>
      <w:pPr>
        <w:pStyle w:val="FirstParagraph"/>
      </w:pPr>
      <w:r>
        <w:t xml:space="preserve">These came out of design discussions and the graph’s structure. They are not in the repo, but the model anticipates them — strong candidates for real comparatives.</w:t>
      </w:r>
    </w:p>
    <w:bookmarkStart w:id="21" w:name="a.-per-cnf-release-notes"/>
    <w:p>
      <w:pPr>
        <w:pStyle w:val="Heading3"/>
      </w:pPr>
      <w:r>
        <w:t xml:space="preserve">A. Per-CNF release notes</w:t>
      </w:r>
    </w:p>
    <w:p>
      <w:pPr>
        <w:pStyle w:val="FirstParagraph"/>
      </w:pPr>
      <w:r>
        <w:t xml:space="preserve">Real release notes are published per CNF (containerized network function) by the vendor, not as one consolidated DMC note. So instead of file #1 above, reality gives you:</w:t>
      </w:r>
    </w:p>
    <w:p>
      <w:pPr>
        <w:numPr>
          <w:ilvl w:val="0"/>
          <w:numId w:val="1001"/>
        </w:numPr>
        <w:pStyle w:val="Compact"/>
      </w:pPr>
      <w:r>
        <w:t xml:space="preserve">release-note-cSAEGW-C-</w:t>
      </w:r>
      <w:r>
        <w:t xml:space="preserve"> </w:t>
      </w:r>
      <w:r>
        <w:t xml:space="preserve">(control plane)</w:t>
      </w:r>
    </w:p>
    <w:p>
      <w:pPr>
        <w:numPr>
          <w:ilvl w:val="0"/>
          <w:numId w:val="1001"/>
        </w:numPr>
        <w:pStyle w:val="Compact"/>
      </w:pPr>
      <w:r>
        <w:t xml:space="preserve">release-note-cSAEGW-U-</w:t>
      </w:r>
      <w:r>
        <w:t xml:space="preserve"> </w:t>
      </w:r>
      <w:r>
        <w:t xml:space="preserve">(user plane)</w:t>
      </w:r>
    </w:p>
    <w:p>
      <w:pPr>
        <w:numPr>
          <w:ilvl w:val="0"/>
          <w:numId w:val="1001"/>
        </w:numPr>
        <w:pStyle w:val="Compact"/>
      </w:pPr>
      <w:r>
        <w:t xml:space="preserve">release-note-cMME-</w:t>
      </w:r>
    </w:p>
    <w:p>
      <w:pPr>
        <w:numPr>
          <w:ilvl w:val="0"/>
          <w:numId w:val="1001"/>
        </w:numPr>
        <w:pStyle w:val="Compact"/>
      </w:pPr>
      <w:r>
        <w:t xml:space="preserve">release-note-PCC-</w:t>
      </w:r>
    </w:p>
    <w:p>
      <w:pPr>
        <w:numPr>
          <w:ilvl w:val="0"/>
          <w:numId w:val="1001"/>
        </w:numPr>
        <w:pStyle w:val="Compact"/>
      </w:pPr>
      <w:r>
        <w:t xml:space="preserve">release-note-PCG-</w:t>
      </w:r>
    </w:p>
    <w:p>
      <w:pPr>
        <w:numPr>
          <w:ilvl w:val="0"/>
          <w:numId w:val="1001"/>
        </w:numPr>
        <w:pStyle w:val="Compact"/>
      </w:pPr>
      <w:r>
        <w:t xml:space="preserve">Plus an integration / compatibility matrix the delivery team assembles (which CNF versions are certified together). This is often a spreadsheet.</w:t>
      </w:r>
    </w:p>
    <w:bookmarkEnd w:id="21"/>
    <w:bookmarkStart w:id="22" w:name="X5699e037adfb5a67a631e770d37e738a8993979"/>
    <w:p>
      <w:pPr>
        <w:pStyle w:val="Heading3"/>
      </w:pPr>
      <w:r>
        <w:t xml:space="preserve">B. Documents implied by the graph but with no source doc yet</w:t>
      </w:r>
    </w:p>
    <w:p>
      <w:pPr>
        <w:pStyle w:val="FirstParagraph"/>
      </w:pPr>
      <w:r>
        <w:t xml:space="preserve">The graph references these entities; in real life each has backing paperwork:</w:t>
      </w:r>
    </w:p>
    <w:p>
      <w:pPr>
        <w:numPr>
          <w:ilvl w:val="0"/>
          <w:numId w:val="1002"/>
        </w:numPr>
        <w:pStyle w:val="Compact"/>
      </w:pPr>
      <w:r>
        <w:t xml:space="preserve">Change records / maintenance-window tickets — the ticket wrapping each MOP execution (ServiceNow/Remedy).</w:t>
      </w:r>
    </w:p>
    <w:p>
      <w:pPr>
        <w:numPr>
          <w:ilvl w:val="0"/>
          <w:numId w:val="1002"/>
        </w:numPr>
        <w:pStyle w:val="Compact"/>
      </w:pPr>
      <w:r>
        <w:t xml:space="preserve">Rollback / back-out plans — sometimes separate from the MOP.</w:t>
      </w:r>
    </w:p>
    <w:p>
      <w:pPr>
        <w:numPr>
          <w:ilvl w:val="0"/>
          <w:numId w:val="1002"/>
        </w:numPr>
        <w:pStyle w:val="Compact"/>
      </w:pPr>
      <w:r>
        <w:t xml:space="preserve">FOA readiness / go-no-go sign-off — the gate decision document (the model has</w:t>
      </w:r>
      <w:r>
        <w:t xml:space="preserve"> </w:t>
      </w:r>
      <w:r>
        <w:rPr>
          <w:rStyle w:val="VerbatimChar"/>
        </w:rPr>
        <w:t xml:space="preserve">gates</w:t>
      </w:r>
      <w:r>
        <w:t xml:space="preserve">/</w:t>
      </w:r>
      <w:r>
        <w:rPr>
          <w:rStyle w:val="VerbatimChar"/>
        </w:rPr>
        <w:t xml:space="preserve">precedes</w:t>
      </w:r>
      <w:r>
        <w:t xml:space="preserve"> </w:t>
      </w:r>
      <w:r>
        <w:t xml:space="preserve">edges but no sign-off doc).</w:t>
      </w:r>
    </w:p>
    <w:p>
      <w:pPr>
        <w:numPr>
          <w:ilvl w:val="0"/>
          <w:numId w:val="1002"/>
        </w:numPr>
        <w:pStyle w:val="Compact"/>
      </w:pPr>
      <w:r>
        <w:t xml:space="preserve">Compatibility / interoperability matrix — cross-CNF version compatibility (ties to the per-CNF notes above).</w:t>
      </w:r>
    </w:p>
    <w:p>
      <w:pPr>
        <w:numPr>
          <w:ilvl w:val="0"/>
          <w:numId w:val="1002"/>
        </w:numPr>
        <w:pStyle w:val="Compact"/>
      </w:pPr>
      <w:r>
        <w:t xml:space="preserve">Network inventory / CMDB export — what is actually deployed where (backs the NIR’s topology).</w:t>
      </w:r>
    </w:p>
    <w:bookmarkEnd w:id="22"/>
    <w:bookmarkStart w:id="23" w:name="Xac8d33f7149a455ab4ce508cfaa866ad3391152"/>
    <w:p>
      <w:pPr>
        <w:pStyle w:val="Heading3"/>
      </w:pPr>
      <w:r>
        <w:t xml:space="preserve">C. Real-world telco delivery document types not yet modeled</w:t>
      </w:r>
    </w:p>
    <w:p>
      <w:pPr>
        <w:pStyle w:val="FirstParagraph"/>
      </w:pPr>
      <w:r>
        <w:t xml:space="preserve">Worth knowing these exist, if scope is extended later:</w:t>
      </w:r>
    </w:p>
    <w:p>
      <w:pPr>
        <w:numPr>
          <w:ilvl w:val="0"/>
          <w:numId w:val="1003"/>
        </w:numPr>
        <w:pStyle w:val="Compact"/>
      </w:pPr>
      <w:r>
        <w:t xml:space="preserve">CIQ response / site survey (the filled-in CIQ per site)</w:t>
      </w:r>
    </w:p>
    <w:p>
      <w:pPr>
        <w:numPr>
          <w:ilvl w:val="0"/>
          <w:numId w:val="1003"/>
        </w:numPr>
        <w:pStyle w:val="Compact"/>
      </w:pPr>
      <w:r>
        <w:t xml:space="preserve">SOW / contract or program scope document</w:t>
      </w:r>
    </w:p>
    <w:p>
      <w:pPr>
        <w:numPr>
          <w:ilvl w:val="0"/>
          <w:numId w:val="1003"/>
        </w:numPr>
        <w:pStyle w:val="Compact"/>
      </w:pPr>
      <w:r>
        <w:t xml:space="preserve">Requirements / feature specification (the</w:t>
      </w:r>
      <w:r>
        <w:t xml:space="preserve"> </w:t>
      </w:r>
      <w:r>
        <w:t xml:space="preserve">“</w:t>
      </w:r>
      <w:r>
        <w:t xml:space="preserve">Requirements</w:t>
      </w:r>
      <w:r>
        <w:t xml:space="preserve">”</w:t>
      </w:r>
      <w:r>
        <w:t xml:space="preserve"> </w:t>
      </w:r>
      <w:r>
        <w:t xml:space="preserve">lifecycle stage; HLD references it but there is no doc)</w:t>
      </w:r>
    </w:p>
    <w:p>
      <w:pPr>
        <w:numPr>
          <w:ilvl w:val="0"/>
          <w:numId w:val="1003"/>
        </w:numPr>
        <w:pStyle w:val="Compact"/>
      </w:pPr>
      <w:r>
        <w:t xml:space="preserve">Acceptance criteria / Definition of Done document</w:t>
      </w:r>
    </w:p>
    <w:p>
      <w:pPr>
        <w:numPr>
          <w:ilvl w:val="0"/>
          <w:numId w:val="1003"/>
        </w:numPr>
        <w:pStyle w:val="Compact"/>
      </w:pPr>
      <w:r>
        <w:t xml:space="preserve">Handover / operational-readiness package (the</w:t>
      </w:r>
      <w:r>
        <w:t xml:space="preserve"> </w:t>
      </w:r>
      <w:r>
        <w:t xml:space="preserve">“</w:t>
      </w:r>
      <w:r>
        <w:t xml:space="preserve">Handover</w:t>
      </w:r>
      <w:r>
        <w:t xml:space="preserve">”</w:t>
      </w:r>
      <w:r>
        <w:t xml:space="preserve"> </w:t>
      </w:r>
      <w:r>
        <w:t xml:space="preserve">lifecycle stage)</w:t>
      </w:r>
    </w:p>
    <w:p>
      <w:pPr>
        <w:numPr>
          <w:ilvl w:val="0"/>
          <w:numId w:val="1003"/>
        </w:numPr>
        <w:pStyle w:val="Compact"/>
      </w:pPr>
      <w:r>
        <w:t xml:space="preserve">PCAP / trace captures and log bundles (diagnostic evidence behind defects — already gitignored as sensitive)</w:t>
      </w:r>
    </w:p>
    <w:p>
      <w:pPr>
        <w:numPr>
          <w:ilvl w:val="0"/>
          <w:numId w:val="1003"/>
        </w:numPr>
        <w:pStyle w:val="Compact"/>
      </w:pPr>
      <w:r>
        <w:t xml:space="preserve">KPI / performance baseline report (what</w:t>
      </w:r>
      <w:r>
        <w:t xml:space="preserve"> </w:t>
      </w:r>
      <w:r>
        <w:t xml:space="preserve">“</w:t>
      </w:r>
      <w:r>
        <w:t xml:space="preserve">pass</w:t>
      </w:r>
      <w:r>
        <w:t xml:space="preserve">”</w:t>
      </w:r>
      <w:r>
        <w:t xml:space="preserve"> </w:t>
      </w:r>
      <w:r>
        <w:t xml:space="preserve">means numerically)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9f62e2c63aad3eac2f833114c12631be3517e63"/>
    <w:p>
      <w:pPr>
        <w:pStyle w:val="Heading2"/>
      </w:pPr>
      <w:r>
        <w:t xml:space="preserve">Part 3 — Prioritized shortlist for scouting real comparatives</w:t>
      </w:r>
    </w:p>
    <w:p>
      <w:pPr>
        <w:pStyle w:val="FirstParagraph"/>
      </w:pPr>
      <w:r>
        <w:t xml:space="preserve">If collecting real documents, these give the most graph value per document because they are full of cross-referenced IDs:</w:t>
      </w:r>
    </w:p>
    <w:p>
      <w:pPr>
        <w:numPr>
          <w:ilvl w:val="0"/>
          <w:numId w:val="1004"/>
        </w:numPr>
        <w:pStyle w:val="Compact"/>
      </w:pPr>
      <w:r>
        <w:t xml:space="preserve">Defect register / Jira export — richest relationship source (blocks, fixed_in, affects).</w:t>
      </w:r>
    </w:p>
    <w:p>
      <w:pPr>
        <w:numPr>
          <w:ilvl w:val="0"/>
          <w:numId w:val="1004"/>
        </w:numPr>
        <w:pStyle w:val="Compact"/>
      </w:pPr>
      <w:r>
        <w:t xml:space="preserve">Test results + test catalog — the validates / blocked_by backbone.</w:t>
      </w:r>
    </w:p>
    <w:p>
      <w:pPr>
        <w:numPr>
          <w:ilvl w:val="0"/>
          <w:numId w:val="1004"/>
        </w:numPr>
        <w:pStyle w:val="Compact"/>
      </w:pPr>
      <w:r>
        <w:t xml:space="preserve">Per-CNF release notes + compatibility matrix — the integration story.</w:t>
      </w:r>
    </w:p>
    <w:p>
      <w:pPr>
        <w:numPr>
          <w:ilvl w:val="0"/>
          <w:numId w:val="1004"/>
        </w:numPr>
        <w:pStyle w:val="Compact"/>
      </w:pPr>
      <w:r>
        <w:t xml:space="preserve">CIQ (Excel) — highest-value structured doc; also the biggest format gap (needs XLSX ingestion).</w:t>
      </w:r>
    </w:p>
    <w:p>
      <w:pPr>
        <w:numPr>
          <w:ilvl w:val="0"/>
          <w:numId w:val="1004"/>
        </w:numPr>
        <w:pStyle w:val="Compact"/>
      </w:pPr>
      <w:r>
        <w:t xml:space="preserve">MOP + its change record — the action that triggers the whole impact chain.</w:t>
      </w:r>
    </w:p>
    <w:p>
      <w:pPr>
        <w:pStyle w:val="FirstParagraph"/>
      </w:pPr>
      <w:r>
        <w:t xml:space="preserve">The narrative docs (HLD, runbook) are useful but plain RAG already handles them; the five above are where the graph earns its keep.</w:t>
      </w:r>
    </w:p>
    <w:p>
      <w:r>
        <w:pict>
          <v:rect style="width:0;height:1.5pt" o:hralign="center" o:hrstd="t" o:hr="t"/>
        </w:pict>
      </w:r>
    </w:p>
    <w:bookmarkEnd w:id="25"/>
    <w:bookmarkStart w:id="26" w:name="X733390abd2c03c4dd3dbdcbcb9ca25b6a5e75b0"/>
    <w:p>
      <w:pPr>
        <w:pStyle w:val="Heading2"/>
      </w:pPr>
      <w:r>
        <w:t xml:space="preserve">Practical note for when real documents are collected</w:t>
      </w:r>
    </w:p>
    <w:p>
      <w:pPr>
        <w:pStyle w:val="FirstParagraph"/>
      </w:pPr>
      <w:r>
        <w:t xml:space="preserve">Four of the highest-value real documents (CIQ, test catalog, test results, defect register) typically arrive as Excel or tool exports, and release notes / HLDs as PDF or Word. Current ingestion only reads</w:t>
      </w:r>
      <w:r>
        <w:t xml:space="preserve"> </w:t>
      </w:r>
      <w:r>
        <w:rPr>
          <w:rStyle w:val="VerbatimChar"/>
        </w:rPr>
        <w:t xml:space="preserve">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.txt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— so collecting real comparatives in those formats is also the trigger to build PDF/XLSX ingestion. Anything real goes in the gitignored</w:t>
      </w:r>
      <w:r>
        <w:t xml:space="preserve"> </w:t>
      </w:r>
      <w:r>
        <w:rPr>
          <w:rStyle w:val="VerbatimChar"/>
        </w:rPr>
        <w:t xml:space="preserve">data/private/</w:t>
      </w:r>
      <w:r>
        <w:t xml:space="preserve">, never the repo.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2026-10-19T18:19:07Z</dcterms:created>
  <dcterms:modified xsi:type="dcterms:W3CDTF">2026-10-19T18:19:07Z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