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8510DA" w14:textId="0A75AB75" w:rsidR="0047097E" w:rsidRPr="00BF0688" w:rsidRDefault="00000000" w:rsidP="00D8268C">
      <w:pPr>
        <w:pStyle w:val="Title"/>
        <w:jc w:val="center"/>
        <w:rPr>
          <w:rFonts w:ascii="Garamond" w:hAnsi="Garamond"/>
          <w:b/>
          <w:bCs/>
          <w:sz w:val="36"/>
          <w:szCs w:val="36"/>
          <w:u w:val="single"/>
        </w:rPr>
      </w:pPr>
      <w:r w:rsidRPr="00BF0688">
        <w:rPr>
          <w:rFonts w:ascii="Garamond" w:hAnsi="Garamond"/>
          <w:b/>
          <w:bCs/>
          <w:sz w:val="36"/>
          <w:szCs w:val="36"/>
          <w:u w:val="single"/>
        </w:rPr>
        <w:t xml:space="preserve">Grad Careers Portal </w:t>
      </w:r>
      <w:r w:rsidR="00D8268C" w:rsidRPr="00BF0688">
        <w:rPr>
          <w:rFonts w:ascii="Garamond" w:hAnsi="Garamond"/>
          <w:b/>
          <w:bCs/>
          <w:sz w:val="36"/>
          <w:szCs w:val="36"/>
          <w:u w:val="single"/>
        </w:rPr>
        <w:t>Investment Recommendation</w:t>
      </w:r>
    </w:p>
    <w:p w14:paraId="280429F2" w14:textId="77777777" w:rsidR="0047097E" w:rsidRPr="00BF0688" w:rsidRDefault="00000000">
      <w:pPr>
        <w:pStyle w:val="Heading1"/>
        <w:rPr>
          <w:rFonts w:ascii="Garamond" w:hAnsi="Garamond"/>
          <w:sz w:val="22"/>
          <w:szCs w:val="22"/>
        </w:rPr>
      </w:pPr>
      <w:r w:rsidRPr="00BF0688">
        <w:rPr>
          <w:rFonts w:ascii="Garamond" w:hAnsi="Garamond"/>
          <w:sz w:val="22"/>
          <w:szCs w:val="22"/>
        </w:rPr>
        <w:t>Recommended decision</w:t>
      </w:r>
    </w:p>
    <w:p w14:paraId="5968134C" w14:textId="260BBFB6" w:rsidR="001C2FC9" w:rsidRPr="00BF0688" w:rsidRDefault="001C2FC9" w:rsidP="001C2FC9">
      <w:pPr>
        <w:pStyle w:val="NormalWeb"/>
        <w:rPr>
          <w:rFonts w:ascii="Garamond" w:hAnsi="Garamond"/>
          <w:color w:val="000000"/>
          <w:sz w:val="22"/>
          <w:szCs w:val="22"/>
        </w:rPr>
      </w:pPr>
      <w:r w:rsidRPr="00BF0688">
        <w:rPr>
          <w:rFonts w:ascii="Garamond" w:hAnsi="Garamond"/>
          <w:color w:val="000000"/>
          <w:sz w:val="22"/>
          <w:szCs w:val="22"/>
        </w:rPr>
        <w:t xml:space="preserve">I recommend deferring full approval of the portal investment until its benefits and costs are validated, as the </w:t>
      </w:r>
      <w:r w:rsidRPr="00BF0688">
        <w:rPr>
          <w:rFonts w:ascii="Garamond" w:hAnsi="Garamond"/>
          <w:color w:val="000000"/>
          <w:sz w:val="22"/>
          <w:szCs w:val="22"/>
        </w:rPr>
        <w:t>best</w:t>
      </w:r>
      <w:r w:rsidRPr="00BF0688">
        <w:rPr>
          <w:rFonts w:ascii="Garamond" w:hAnsi="Garamond"/>
          <w:color w:val="000000"/>
          <w:sz w:val="22"/>
          <w:szCs w:val="22"/>
        </w:rPr>
        <w:t xml:space="preserve"> scenario generates $144,000 in additional annual revenue but leaves only $14,000 after the initial investment, before additional costs. Before committing $130,000, Grad Careers should confirm that the required completion improvement is achievable, that it can generate the assumed additional contracts, and that the resulting financial benefits cover delivery and ongoing portal costs.</w:t>
      </w:r>
    </w:p>
    <w:p w14:paraId="5A543DBC" w14:textId="77777777" w:rsidR="0047097E" w:rsidRPr="00BF0688" w:rsidRDefault="00000000">
      <w:pPr>
        <w:pStyle w:val="Heading1"/>
        <w:rPr>
          <w:rFonts w:ascii="Garamond" w:hAnsi="Garamond"/>
          <w:sz w:val="22"/>
          <w:szCs w:val="22"/>
        </w:rPr>
      </w:pPr>
      <w:r w:rsidRPr="00BF0688">
        <w:rPr>
          <w:rFonts w:ascii="Garamond" w:hAnsi="Garamond"/>
          <w:sz w:val="22"/>
          <w:szCs w:val="22"/>
        </w:rPr>
        <w:t>Scenario evidence</w:t>
      </w:r>
    </w:p>
    <w:tbl>
      <w:tblPr>
        <w:tblW w:w="10224" w:type="dxa"/>
        <w:tblLayout w:type="fixed"/>
        <w:tblLook w:val="04A0" w:firstRow="1" w:lastRow="0" w:firstColumn="1" w:lastColumn="0" w:noHBand="0" w:noVBand="1"/>
      </w:tblPr>
      <w:tblGrid>
        <w:gridCol w:w="1224"/>
        <w:gridCol w:w="1748"/>
        <w:gridCol w:w="1843"/>
        <w:gridCol w:w="2025"/>
        <w:gridCol w:w="3384"/>
      </w:tblGrid>
      <w:tr w:rsidR="0047097E" w:rsidRPr="00BF0688" w14:paraId="780AE3C6" w14:textId="77777777" w:rsidTr="00085645">
        <w:tc>
          <w:tcPr>
            <w:tcW w:w="1224" w:type="dxa"/>
            <w:tcBorders>
              <w:top w:val="single" w:sz="4" w:space="0" w:color="D9D9D9"/>
              <w:left w:val="single" w:sz="4" w:space="0" w:color="D9D9D9"/>
              <w:bottom w:val="single" w:sz="4" w:space="0" w:color="D9D9D9"/>
              <w:right w:val="single" w:sz="4" w:space="0" w:color="D9D9D9"/>
            </w:tcBorders>
            <w:shd w:val="clear" w:color="auto" w:fill="20354D"/>
            <w:tcMar>
              <w:top w:w="100" w:type="dxa"/>
              <w:left w:w="100" w:type="dxa"/>
              <w:bottom w:w="100" w:type="dxa"/>
              <w:right w:w="100" w:type="dxa"/>
            </w:tcMar>
            <w:vAlign w:val="center"/>
          </w:tcPr>
          <w:p w14:paraId="6CD12C70" w14:textId="77777777" w:rsidR="0047097E" w:rsidRPr="00BF0688" w:rsidRDefault="00000000">
            <w:pPr>
              <w:spacing w:after="40"/>
              <w:rPr>
                <w:rFonts w:ascii="Garamond" w:hAnsi="Garamond"/>
                <w:sz w:val="22"/>
              </w:rPr>
            </w:pPr>
            <w:r w:rsidRPr="00BF0688">
              <w:rPr>
                <w:rFonts w:ascii="Garamond" w:hAnsi="Garamond"/>
                <w:b/>
                <w:color w:val="FFFFFF"/>
                <w:sz w:val="22"/>
              </w:rPr>
              <w:t>Scenario</w:t>
            </w:r>
          </w:p>
        </w:tc>
        <w:tc>
          <w:tcPr>
            <w:tcW w:w="1748" w:type="dxa"/>
            <w:tcBorders>
              <w:top w:val="single" w:sz="4" w:space="0" w:color="D9D9D9"/>
              <w:left w:val="single" w:sz="4" w:space="0" w:color="D9D9D9"/>
              <w:bottom w:val="single" w:sz="4" w:space="0" w:color="D9D9D9"/>
              <w:right w:val="single" w:sz="4" w:space="0" w:color="D9D9D9"/>
            </w:tcBorders>
            <w:shd w:val="clear" w:color="auto" w:fill="20354D"/>
            <w:tcMar>
              <w:top w:w="100" w:type="dxa"/>
              <w:left w:w="100" w:type="dxa"/>
              <w:bottom w:w="100" w:type="dxa"/>
              <w:right w:w="100" w:type="dxa"/>
            </w:tcMar>
            <w:vAlign w:val="center"/>
          </w:tcPr>
          <w:p w14:paraId="2FA2A80B" w14:textId="77777777" w:rsidR="0047097E" w:rsidRPr="00BF0688" w:rsidRDefault="00000000">
            <w:pPr>
              <w:spacing w:after="40"/>
              <w:rPr>
                <w:rFonts w:ascii="Garamond" w:hAnsi="Garamond"/>
                <w:sz w:val="22"/>
              </w:rPr>
            </w:pPr>
            <w:r w:rsidRPr="00BF0688">
              <w:rPr>
                <w:rFonts w:ascii="Garamond" w:hAnsi="Garamond"/>
                <w:b/>
                <w:color w:val="FFFFFF"/>
                <w:sz w:val="22"/>
              </w:rPr>
              <w:t>Completion</w:t>
            </w:r>
          </w:p>
        </w:tc>
        <w:tc>
          <w:tcPr>
            <w:tcW w:w="1843" w:type="dxa"/>
            <w:tcBorders>
              <w:top w:val="single" w:sz="4" w:space="0" w:color="D9D9D9"/>
              <w:left w:val="single" w:sz="4" w:space="0" w:color="D9D9D9"/>
              <w:bottom w:val="single" w:sz="4" w:space="0" w:color="D9D9D9"/>
              <w:right w:val="single" w:sz="4" w:space="0" w:color="D9D9D9"/>
            </w:tcBorders>
            <w:shd w:val="clear" w:color="auto" w:fill="20354D"/>
            <w:tcMar>
              <w:top w:w="100" w:type="dxa"/>
              <w:left w:w="100" w:type="dxa"/>
              <w:bottom w:w="100" w:type="dxa"/>
              <w:right w:w="100" w:type="dxa"/>
            </w:tcMar>
            <w:vAlign w:val="center"/>
          </w:tcPr>
          <w:p w14:paraId="0E15824B" w14:textId="77777777" w:rsidR="0047097E" w:rsidRPr="00BF0688" w:rsidRDefault="00000000">
            <w:pPr>
              <w:spacing w:after="40"/>
              <w:rPr>
                <w:rFonts w:ascii="Garamond" w:hAnsi="Garamond"/>
                <w:sz w:val="22"/>
              </w:rPr>
            </w:pPr>
            <w:r w:rsidRPr="00BF0688">
              <w:rPr>
                <w:rFonts w:ascii="Garamond" w:hAnsi="Garamond"/>
                <w:b/>
                <w:color w:val="FFFFFF"/>
                <w:sz w:val="22"/>
              </w:rPr>
              <w:t>Annual revenue</w:t>
            </w:r>
          </w:p>
        </w:tc>
        <w:tc>
          <w:tcPr>
            <w:tcW w:w="2025" w:type="dxa"/>
            <w:tcBorders>
              <w:top w:val="single" w:sz="4" w:space="0" w:color="D9D9D9"/>
              <w:left w:val="single" w:sz="4" w:space="0" w:color="D9D9D9"/>
              <w:bottom w:val="single" w:sz="4" w:space="0" w:color="D9D9D9"/>
              <w:right w:val="single" w:sz="4" w:space="0" w:color="D9D9D9"/>
            </w:tcBorders>
            <w:shd w:val="clear" w:color="auto" w:fill="20354D"/>
            <w:tcMar>
              <w:top w:w="100" w:type="dxa"/>
              <w:left w:w="100" w:type="dxa"/>
              <w:bottom w:w="100" w:type="dxa"/>
              <w:right w:w="100" w:type="dxa"/>
            </w:tcMar>
            <w:vAlign w:val="center"/>
          </w:tcPr>
          <w:p w14:paraId="6A3437FB" w14:textId="77777777" w:rsidR="0047097E" w:rsidRPr="00BF0688" w:rsidRDefault="00000000">
            <w:pPr>
              <w:spacing w:after="40"/>
              <w:rPr>
                <w:rFonts w:ascii="Garamond" w:hAnsi="Garamond"/>
                <w:sz w:val="22"/>
              </w:rPr>
            </w:pPr>
            <w:r w:rsidRPr="00BF0688">
              <w:rPr>
                <w:rFonts w:ascii="Garamond" w:hAnsi="Garamond"/>
                <w:b/>
                <w:color w:val="FFFFFF"/>
                <w:sz w:val="22"/>
              </w:rPr>
              <w:t>Revenue change</w:t>
            </w:r>
          </w:p>
        </w:tc>
        <w:tc>
          <w:tcPr>
            <w:tcW w:w="3384" w:type="dxa"/>
            <w:tcBorders>
              <w:top w:val="single" w:sz="4" w:space="0" w:color="D9D9D9"/>
              <w:left w:val="single" w:sz="4" w:space="0" w:color="D9D9D9"/>
              <w:bottom w:val="single" w:sz="4" w:space="0" w:color="D9D9D9"/>
              <w:right w:val="single" w:sz="4" w:space="0" w:color="D9D9D9"/>
            </w:tcBorders>
            <w:shd w:val="clear" w:color="auto" w:fill="20354D"/>
            <w:tcMar>
              <w:top w:w="100" w:type="dxa"/>
              <w:left w:w="100" w:type="dxa"/>
              <w:bottom w:w="100" w:type="dxa"/>
              <w:right w:w="100" w:type="dxa"/>
            </w:tcMar>
            <w:vAlign w:val="center"/>
          </w:tcPr>
          <w:p w14:paraId="705495FC" w14:textId="4C6A0479" w:rsidR="0047097E" w:rsidRPr="00BF0688" w:rsidRDefault="00000000">
            <w:pPr>
              <w:spacing w:after="40"/>
              <w:rPr>
                <w:rFonts w:ascii="Garamond" w:hAnsi="Garamond"/>
                <w:sz w:val="22"/>
              </w:rPr>
            </w:pPr>
            <w:r w:rsidRPr="00BF0688">
              <w:rPr>
                <w:rFonts w:ascii="Garamond" w:hAnsi="Garamond"/>
                <w:b/>
                <w:color w:val="FFFFFF"/>
                <w:sz w:val="22"/>
              </w:rPr>
              <w:t xml:space="preserve">Revenue </w:t>
            </w:r>
            <w:r w:rsidR="00085645" w:rsidRPr="00BF0688">
              <w:rPr>
                <w:rFonts w:ascii="Garamond" w:hAnsi="Garamond"/>
                <w:b/>
                <w:color w:val="FFFFFF"/>
                <w:sz w:val="22"/>
              </w:rPr>
              <w:t>changes</w:t>
            </w:r>
            <w:r w:rsidRPr="00BF0688">
              <w:rPr>
                <w:rFonts w:ascii="Garamond" w:hAnsi="Garamond"/>
                <w:b/>
                <w:color w:val="FFFFFF"/>
                <w:sz w:val="22"/>
              </w:rPr>
              <w:t xml:space="preserve"> less investment</w:t>
            </w:r>
          </w:p>
        </w:tc>
      </w:tr>
      <w:tr w:rsidR="0047097E" w:rsidRPr="00BF0688" w14:paraId="5D12745B" w14:textId="77777777" w:rsidTr="00085645">
        <w:tc>
          <w:tcPr>
            <w:tcW w:w="1224" w:type="dxa"/>
            <w:tcBorders>
              <w:top w:val="single" w:sz="4" w:space="0" w:color="D9D9D9"/>
              <w:left w:val="single" w:sz="4" w:space="0" w:color="D9D9D9"/>
              <w:bottom w:val="single" w:sz="4" w:space="0" w:color="D9D9D9"/>
              <w:right w:val="single" w:sz="4" w:space="0" w:color="D9D9D9"/>
            </w:tcBorders>
            <w:shd w:val="clear" w:color="auto" w:fill="F2F5F8"/>
            <w:tcMar>
              <w:top w:w="100" w:type="dxa"/>
              <w:left w:w="100" w:type="dxa"/>
              <w:bottom w:w="100" w:type="dxa"/>
              <w:right w:w="100" w:type="dxa"/>
            </w:tcMar>
            <w:vAlign w:val="center"/>
          </w:tcPr>
          <w:p w14:paraId="54D10D1A" w14:textId="77777777" w:rsidR="0047097E" w:rsidRPr="00BF0688" w:rsidRDefault="00000000">
            <w:pPr>
              <w:spacing w:after="40"/>
              <w:rPr>
                <w:rFonts w:ascii="Garamond" w:hAnsi="Garamond"/>
                <w:sz w:val="22"/>
              </w:rPr>
            </w:pPr>
            <w:r w:rsidRPr="00BF0688">
              <w:rPr>
                <w:rFonts w:ascii="Garamond" w:hAnsi="Garamond"/>
                <w:sz w:val="22"/>
              </w:rPr>
              <w:t>Base</w:t>
            </w:r>
          </w:p>
        </w:tc>
        <w:tc>
          <w:tcPr>
            <w:tcW w:w="1748" w:type="dxa"/>
            <w:tcBorders>
              <w:top w:val="single" w:sz="4" w:space="0" w:color="D9D9D9"/>
              <w:left w:val="single" w:sz="4" w:space="0" w:color="D9D9D9"/>
              <w:bottom w:val="single" w:sz="4" w:space="0" w:color="D9D9D9"/>
              <w:right w:val="single" w:sz="4" w:space="0" w:color="D9D9D9"/>
            </w:tcBorders>
            <w:shd w:val="clear" w:color="auto" w:fill="F2F5F8"/>
            <w:tcMar>
              <w:top w:w="100" w:type="dxa"/>
              <w:left w:w="100" w:type="dxa"/>
              <w:bottom w:w="100" w:type="dxa"/>
              <w:right w:w="100" w:type="dxa"/>
            </w:tcMar>
            <w:vAlign w:val="center"/>
          </w:tcPr>
          <w:p w14:paraId="72F0871E" w14:textId="77777777" w:rsidR="0047097E" w:rsidRPr="00BF0688" w:rsidRDefault="00000000">
            <w:pPr>
              <w:spacing w:after="40"/>
              <w:rPr>
                <w:rFonts w:ascii="Garamond" w:hAnsi="Garamond"/>
                <w:sz w:val="22"/>
              </w:rPr>
            </w:pPr>
            <w:r w:rsidRPr="00BF0688">
              <w:rPr>
                <w:rFonts w:ascii="Garamond" w:hAnsi="Garamond"/>
                <w:sz w:val="22"/>
              </w:rPr>
              <w:t>60%</w:t>
            </w:r>
          </w:p>
        </w:tc>
        <w:tc>
          <w:tcPr>
            <w:tcW w:w="1843" w:type="dxa"/>
            <w:tcBorders>
              <w:top w:val="single" w:sz="4" w:space="0" w:color="D9D9D9"/>
              <w:left w:val="single" w:sz="4" w:space="0" w:color="D9D9D9"/>
              <w:bottom w:val="single" w:sz="4" w:space="0" w:color="D9D9D9"/>
              <w:right w:val="single" w:sz="4" w:space="0" w:color="D9D9D9"/>
            </w:tcBorders>
            <w:shd w:val="clear" w:color="auto" w:fill="F2F5F8"/>
            <w:tcMar>
              <w:top w:w="100" w:type="dxa"/>
              <w:left w:w="100" w:type="dxa"/>
              <w:bottom w:w="100" w:type="dxa"/>
              <w:right w:w="100" w:type="dxa"/>
            </w:tcMar>
            <w:vAlign w:val="center"/>
          </w:tcPr>
          <w:p w14:paraId="107C8097" w14:textId="77777777" w:rsidR="0047097E" w:rsidRPr="00BF0688" w:rsidRDefault="00000000">
            <w:pPr>
              <w:spacing w:after="40"/>
              <w:rPr>
                <w:rFonts w:ascii="Garamond" w:hAnsi="Garamond"/>
                <w:sz w:val="22"/>
              </w:rPr>
            </w:pPr>
            <w:r w:rsidRPr="00BF0688">
              <w:rPr>
                <w:rFonts w:ascii="Garamond" w:hAnsi="Garamond"/>
                <w:sz w:val="22"/>
              </w:rPr>
              <w:t>$1,200,000</w:t>
            </w:r>
          </w:p>
        </w:tc>
        <w:tc>
          <w:tcPr>
            <w:tcW w:w="2025" w:type="dxa"/>
            <w:tcBorders>
              <w:top w:val="single" w:sz="4" w:space="0" w:color="D9D9D9"/>
              <w:left w:val="single" w:sz="4" w:space="0" w:color="D9D9D9"/>
              <w:bottom w:val="single" w:sz="4" w:space="0" w:color="D9D9D9"/>
              <w:right w:val="single" w:sz="4" w:space="0" w:color="D9D9D9"/>
            </w:tcBorders>
            <w:shd w:val="clear" w:color="auto" w:fill="F2F5F8"/>
            <w:tcMar>
              <w:top w:w="100" w:type="dxa"/>
              <w:left w:w="100" w:type="dxa"/>
              <w:bottom w:w="100" w:type="dxa"/>
              <w:right w:w="100" w:type="dxa"/>
            </w:tcMar>
            <w:vAlign w:val="center"/>
          </w:tcPr>
          <w:p w14:paraId="135DC98B" w14:textId="77777777" w:rsidR="0047097E" w:rsidRPr="00BF0688" w:rsidRDefault="00000000">
            <w:pPr>
              <w:spacing w:after="40"/>
              <w:rPr>
                <w:rFonts w:ascii="Garamond" w:hAnsi="Garamond"/>
                <w:sz w:val="22"/>
              </w:rPr>
            </w:pPr>
            <w:r w:rsidRPr="00BF0688">
              <w:rPr>
                <w:rFonts w:ascii="Garamond" w:hAnsi="Garamond"/>
                <w:sz w:val="22"/>
              </w:rPr>
              <w:t>$0</w:t>
            </w:r>
          </w:p>
        </w:tc>
        <w:tc>
          <w:tcPr>
            <w:tcW w:w="3384" w:type="dxa"/>
            <w:tcBorders>
              <w:top w:val="single" w:sz="4" w:space="0" w:color="D9D9D9"/>
              <w:left w:val="single" w:sz="4" w:space="0" w:color="D9D9D9"/>
              <w:bottom w:val="single" w:sz="4" w:space="0" w:color="D9D9D9"/>
              <w:right w:val="single" w:sz="4" w:space="0" w:color="D9D9D9"/>
            </w:tcBorders>
            <w:shd w:val="clear" w:color="auto" w:fill="F2F5F8"/>
            <w:tcMar>
              <w:top w:w="100" w:type="dxa"/>
              <w:left w:w="100" w:type="dxa"/>
              <w:bottom w:w="100" w:type="dxa"/>
              <w:right w:w="100" w:type="dxa"/>
            </w:tcMar>
            <w:vAlign w:val="center"/>
          </w:tcPr>
          <w:p w14:paraId="1009A52D" w14:textId="77777777" w:rsidR="0047097E" w:rsidRPr="00BF0688" w:rsidRDefault="00000000">
            <w:pPr>
              <w:spacing w:after="40"/>
              <w:rPr>
                <w:rFonts w:ascii="Garamond" w:hAnsi="Garamond"/>
                <w:sz w:val="22"/>
              </w:rPr>
            </w:pPr>
            <w:r w:rsidRPr="00BF0688">
              <w:rPr>
                <w:rFonts w:ascii="Garamond" w:hAnsi="Garamond"/>
                <w:sz w:val="22"/>
              </w:rPr>
              <w:t>−$130,000</w:t>
            </w:r>
          </w:p>
        </w:tc>
      </w:tr>
      <w:tr w:rsidR="0047097E" w:rsidRPr="00BF0688" w14:paraId="2F80C2FF" w14:textId="77777777" w:rsidTr="00085645">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806AC10" w14:textId="77777777" w:rsidR="0047097E" w:rsidRPr="00BF0688" w:rsidRDefault="00000000">
            <w:pPr>
              <w:spacing w:after="40"/>
              <w:rPr>
                <w:rFonts w:ascii="Garamond" w:hAnsi="Garamond"/>
                <w:sz w:val="22"/>
              </w:rPr>
            </w:pPr>
            <w:r w:rsidRPr="00BF0688">
              <w:rPr>
                <w:rFonts w:ascii="Garamond" w:hAnsi="Garamond"/>
                <w:sz w:val="22"/>
              </w:rPr>
              <w:t>Best</w:t>
            </w:r>
          </w:p>
        </w:tc>
        <w:tc>
          <w:tcPr>
            <w:tcW w:w="174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303B5F6" w14:textId="77777777" w:rsidR="0047097E" w:rsidRPr="00BF0688" w:rsidRDefault="00000000">
            <w:pPr>
              <w:spacing w:after="40"/>
              <w:rPr>
                <w:rFonts w:ascii="Garamond" w:hAnsi="Garamond"/>
                <w:sz w:val="22"/>
              </w:rPr>
            </w:pPr>
            <w:r w:rsidRPr="00BF0688">
              <w:rPr>
                <w:rFonts w:ascii="Garamond" w:hAnsi="Garamond"/>
                <w:sz w:val="22"/>
              </w:rPr>
              <w:t>72%</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068512B" w14:textId="77777777" w:rsidR="0047097E" w:rsidRPr="00BF0688" w:rsidRDefault="00000000">
            <w:pPr>
              <w:spacing w:after="40"/>
              <w:rPr>
                <w:rFonts w:ascii="Garamond" w:hAnsi="Garamond"/>
                <w:sz w:val="22"/>
              </w:rPr>
            </w:pPr>
            <w:r w:rsidRPr="00BF0688">
              <w:rPr>
                <w:rFonts w:ascii="Garamond" w:hAnsi="Garamond"/>
                <w:sz w:val="22"/>
              </w:rPr>
              <w:t>$1,344,000</w:t>
            </w:r>
          </w:p>
        </w:tc>
        <w:tc>
          <w:tcPr>
            <w:tcW w:w="202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CFEBE4F" w14:textId="77777777" w:rsidR="0047097E" w:rsidRPr="00BF0688" w:rsidRDefault="00000000">
            <w:pPr>
              <w:spacing w:after="40"/>
              <w:rPr>
                <w:rFonts w:ascii="Garamond" w:hAnsi="Garamond"/>
                <w:sz w:val="22"/>
              </w:rPr>
            </w:pPr>
            <w:r w:rsidRPr="00BF0688">
              <w:rPr>
                <w:rFonts w:ascii="Garamond" w:hAnsi="Garamond"/>
                <w:sz w:val="22"/>
              </w:rPr>
              <w:t>+$144,000</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3D78E73" w14:textId="77777777" w:rsidR="0047097E" w:rsidRPr="00BF0688" w:rsidRDefault="00000000">
            <w:pPr>
              <w:spacing w:after="40"/>
              <w:rPr>
                <w:rFonts w:ascii="Garamond" w:hAnsi="Garamond"/>
                <w:sz w:val="22"/>
              </w:rPr>
            </w:pPr>
            <w:r w:rsidRPr="00BF0688">
              <w:rPr>
                <w:rFonts w:ascii="Garamond" w:hAnsi="Garamond"/>
                <w:sz w:val="22"/>
              </w:rPr>
              <w:t>+$14,000</w:t>
            </w:r>
          </w:p>
        </w:tc>
      </w:tr>
      <w:tr w:rsidR="0047097E" w:rsidRPr="00BF0688" w14:paraId="359A9DC6" w14:textId="77777777" w:rsidTr="00085645">
        <w:tc>
          <w:tcPr>
            <w:tcW w:w="1224" w:type="dxa"/>
            <w:tcBorders>
              <w:top w:val="single" w:sz="4" w:space="0" w:color="D9D9D9"/>
              <w:left w:val="single" w:sz="4" w:space="0" w:color="D9D9D9"/>
              <w:bottom w:val="single" w:sz="4" w:space="0" w:color="D9D9D9"/>
              <w:right w:val="single" w:sz="4" w:space="0" w:color="D9D9D9"/>
            </w:tcBorders>
            <w:shd w:val="clear" w:color="auto" w:fill="F2F5F8"/>
            <w:tcMar>
              <w:top w:w="100" w:type="dxa"/>
              <w:left w:w="100" w:type="dxa"/>
              <w:bottom w:w="100" w:type="dxa"/>
              <w:right w:w="100" w:type="dxa"/>
            </w:tcMar>
            <w:vAlign w:val="center"/>
          </w:tcPr>
          <w:p w14:paraId="79C575CB" w14:textId="77777777" w:rsidR="0047097E" w:rsidRPr="00BF0688" w:rsidRDefault="00000000">
            <w:pPr>
              <w:spacing w:after="40"/>
              <w:rPr>
                <w:rFonts w:ascii="Garamond" w:hAnsi="Garamond"/>
                <w:sz w:val="22"/>
              </w:rPr>
            </w:pPr>
            <w:r w:rsidRPr="00BF0688">
              <w:rPr>
                <w:rFonts w:ascii="Garamond" w:hAnsi="Garamond"/>
                <w:sz w:val="22"/>
              </w:rPr>
              <w:t>Worst</w:t>
            </w:r>
          </w:p>
        </w:tc>
        <w:tc>
          <w:tcPr>
            <w:tcW w:w="1748" w:type="dxa"/>
            <w:tcBorders>
              <w:top w:val="single" w:sz="4" w:space="0" w:color="D9D9D9"/>
              <w:left w:val="single" w:sz="4" w:space="0" w:color="D9D9D9"/>
              <w:bottom w:val="single" w:sz="4" w:space="0" w:color="D9D9D9"/>
              <w:right w:val="single" w:sz="4" w:space="0" w:color="D9D9D9"/>
            </w:tcBorders>
            <w:shd w:val="clear" w:color="auto" w:fill="F2F5F8"/>
            <w:tcMar>
              <w:top w:w="100" w:type="dxa"/>
              <w:left w:w="100" w:type="dxa"/>
              <w:bottom w:w="100" w:type="dxa"/>
              <w:right w:w="100" w:type="dxa"/>
            </w:tcMar>
            <w:vAlign w:val="center"/>
          </w:tcPr>
          <w:p w14:paraId="2744DFB0" w14:textId="77777777" w:rsidR="0047097E" w:rsidRPr="00BF0688" w:rsidRDefault="00000000">
            <w:pPr>
              <w:spacing w:after="40"/>
              <w:rPr>
                <w:rFonts w:ascii="Garamond" w:hAnsi="Garamond"/>
                <w:sz w:val="22"/>
              </w:rPr>
            </w:pPr>
            <w:r w:rsidRPr="00BF0688">
              <w:rPr>
                <w:rFonts w:ascii="Garamond" w:hAnsi="Garamond"/>
                <w:sz w:val="22"/>
              </w:rPr>
              <w:t>55%</w:t>
            </w:r>
          </w:p>
        </w:tc>
        <w:tc>
          <w:tcPr>
            <w:tcW w:w="1843" w:type="dxa"/>
            <w:tcBorders>
              <w:top w:val="single" w:sz="4" w:space="0" w:color="D9D9D9"/>
              <w:left w:val="single" w:sz="4" w:space="0" w:color="D9D9D9"/>
              <w:bottom w:val="single" w:sz="4" w:space="0" w:color="D9D9D9"/>
              <w:right w:val="single" w:sz="4" w:space="0" w:color="D9D9D9"/>
            </w:tcBorders>
            <w:shd w:val="clear" w:color="auto" w:fill="F2F5F8"/>
            <w:tcMar>
              <w:top w:w="100" w:type="dxa"/>
              <w:left w:w="100" w:type="dxa"/>
              <w:bottom w:w="100" w:type="dxa"/>
              <w:right w:w="100" w:type="dxa"/>
            </w:tcMar>
            <w:vAlign w:val="center"/>
          </w:tcPr>
          <w:p w14:paraId="18462ED8" w14:textId="77777777" w:rsidR="0047097E" w:rsidRPr="00BF0688" w:rsidRDefault="00000000">
            <w:pPr>
              <w:spacing w:after="40"/>
              <w:rPr>
                <w:rFonts w:ascii="Garamond" w:hAnsi="Garamond"/>
                <w:sz w:val="22"/>
              </w:rPr>
            </w:pPr>
            <w:r w:rsidRPr="00BF0688">
              <w:rPr>
                <w:rFonts w:ascii="Garamond" w:hAnsi="Garamond"/>
                <w:sz w:val="22"/>
              </w:rPr>
              <w:t>$1,140,000</w:t>
            </w:r>
          </w:p>
        </w:tc>
        <w:tc>
          <w:tcPr>
            <w:tcW w:w="2025" w:type="dxa"/>
            <w:tcBorders>
              <w:top w:val="single" w:sz="4" w:space="0" w:color="D9D9D9"/>
              <w:left w:val="single" w:sz="4" w:space="0" w:color="D9D9D9"/>
              <w:bottom w:val="single" w:sz="4" w:space="0" w:color="D9D9D9"/>
              <w:right w:val="single" w:sz="4" w:space="0" w:color="D9D9D9"/>
            </w:tcBorders>
            <w:shd w:val="clear" w:color="auto" w:fill="F2F5F8"/>
            <w:tcMar>
              <w:top w:w="100" w:type="dxa"/>
              <w:left w:w="100" w:type="dxa"/>
              <w:bottom w:w="100" w:type="dxa"/>
              <w:right w:w="100" w:type="dxa"/>
            </w:tcMar>
            <w:vAlign w:val="center"/>
          </w:tcPr>
          <w:p w14:paraId="577FC805" w14:textId="77777777" w:rsidR="0047097E" w:rsidRPr="00BF0688" w:rsidRDefault="00000000">
            <w:pPr>
              <w:spacing w:after="40"/>
              <w:rPr>
                <w:rFonts w:ascii="Garamond" w:hAnsi="Garamond"/>
                <w:sz w:val="22"/>
              </w:rPr>
            </w:pPr>
            <w:r w:rsidRPr="00BF0688">
              <w:rPr>
                <w:rFonts w:ascii="Garamond" w:hAnsi="Garamond"/>
                <w:sz w:val="22"/>
              </w:rPr>
              <w:t>−$60,000</w:t>
            </w:r>
          </w:p>
        </w:tc>
        <w:tc>
          <w:tcPr>
            <w:tcW w:w="3384" w:type="dxa"/>
            <w:tcBorders>
              <w:top w:val="single" w:sz="4" w:space="0" w:color="D9D9D9"/>
              <w:left w:val="single" w:sz="4" w:space="0" w:color="D9D9D9"/>
              <w:bottom w:val="single" w:sz="4" w:space="0" w:color="D9D9D9"/>
              <w:right w:val="single" w:sz="4" w:space="0" w:color="D9D9D9"/>
            </w:tcBorders>
            <w:shd w:val="clear" w:color="auto" w:fill="F2F5F8"/>
            <w:tcMar>
              <w:top w:w="100" w:type="dxa"/>
              <w:left w:w="100" w:type="dxa"/>
              <w:bottom w:w="100" w:type="dxa"/>
              <w:right w:w="100" w:type="dxa"/>
            </w:tcMar>
            <w:vAlign w:val="center"/>
          </w:tcPr>
          <w:p w14:paraId="5C294075" w14:textId="77777777" w:rsidR="0047097E" w:rsidRPr="00BF0688" w:rsidRDefault="00000000">
            <w:pPr>
              <w:spacing w:after="40"/>
              <w:rPr>
                <w:rFonts w:ascii="Garamond" w:hAnsi="Garamond"/>
                <w:sz w:val="22"/>
              </w:rPr>
            </w:pPr>
            <w:r w:rsidRPr="00BF0688">
              <w:rPr>
                <w:rFonts w:ascii="Garamond" w:hAnsi="Garamond"/>
                <w:sz w:val="22"/>
              </w:rPr>
              <w:t>−$190,000</w:t>
            </w:r>
          </w:p>
        </w:tc>
      </w:tr>
    </w:tbl>
    <w:p w14:paraId="07A38389" w14:textId="77777777" w:rsidR="0047097E" w:rsidRPr="00BF0688" w:rsidRDefault="00000000">
      <w:pPr>
        <w:rPr>
          <w:rFonts w:ascii="Garamond" w:hAnsi="Garamond"/>
          <w:sz w:val="22"/>
        </w:rPr>
      </w:pPr>
      <w:r w:rsidRPr="00BF0688">
        <w:rPr>
          <w:rFonts w:ascii="Garamond" w:hAnsi="Garamond"/>
          <w:sz w:val="22"/>
        </w:rPr>
        <w:t>Figures compare revenue with the baseline. The final column excludes additional delivery and ongoing portal costs and is not profit.</w:t>
      </w:r>
    </w:p>
    <w:p w14:paraId="26F9C0A4" w14:textId="77777777" w:rsidR="0047097E" w:rsidRPr="00BF0688" w:rsidRDefault="00000000">
      <w:pPr>
        <w:pStyle w:val="Heading1"/>
        <w:rPr>
          <w:rFonts w:ascii="Garamond" w:hAnsi="Garamond"/>
          <w:sz w:val="22"/>
          <w:szCs w:val="22"/>
        </w:rPr>
      </w:pPr>
      <w:r w:rsidRPr="00BF0688">
        <w:rPr>
          <w:rFonts w:ascii="Garamond" w:hAnsi="Garamond"/>
          <w:sz w:val="22"/>
          <w:szCs w:val="22"/>
        </w:rPr>
        <w:t>Completion improvement required</w:t>
      </w:r>
    </w:p>
    <w:p w14:paraId="301260AB" w14:textId="0D10B30F" w:rsidR="00A72146" w:rsidRPr="00BF0688" w:rsidRDefault="00A72146" w:rsidP="00A72146">
      <w:pPr>
        <w:pStyle w:val="NormalWeb"/>
        <w:rPr>
          <w:rFonts w:ascii="Garamond" w:hAnsi="Garamond"/>
          <w:color w:val="000000"/>
          <w:sz w:val="22"/>
          <w:szCs w:val="22"/>
        </w:rPr>
      </w:pPr>
      <w:r w:rsidRPr="00BF0688">
        <w:rPr>
          <w:rFonts w:ascii="Garamond" w:hAnsi="Garamond"/>
          <w:color w:val="000000"/>
          <w:sz w:val="22"/>
          <w:szCs w:val="22"/>
        </w:rPr>
        <w:t xml:space="preserve">Under the model’s assumed completion-to-contract relationship, revenue recovery requires approximately </w:t>
      </w:r>
      <w:r w:rsidRPr="00BF0688">
        <w:rPr>
          <w:rFonts w:ascii="Garamond" w:hAnsi="Garamond"/>
          <w:b/>
          <w:bCs/>
          <w:color w:val="000000"/>
          <w:sz w:val="22"/>
          <w:szCs w:val="22"/>
        </w:rPr>
        <w:t>70.83%</w:t>
      </w:r>
      <w:r w:rsidRPr="00BF0688">
        <w:rPr>
          <w:rFonts w:ascii="Garamond" w:hAnsi="Garamond"/>
          <w:color w:val="000000"/>
          <w:sz w:val="22"/>
          <w:szCs w:val="22"/>
        </w:rPr>
        <w:t xml:space="preserve"> participant completion</w:t>
      </w:r>
      <w:r w:rsidRPr="00BF0688">
        <w:rPr>
          <w:rFonts w:ascii="Garamond" w:hAnsi="Garamond"/>
          <w:color w:val="000000"/>
          <w:sz w:val="22"/>
          <w:szCs w:val="22"/>
        </w:rPr>
        <w:t xml:space="preserve"> </w:t>
      </w:r>
      <w:r w:rsidRPr="00BF0688">
        <w:rPr>
          <w:rFonts w:ascii="Garamond" w:hAnsi="Garamond"/>
          <w:color w:val="000000"/>
          <w:sz w:val="22"/>
          <w:szCs w:val="22"/>
        </w:rPr>
        <w:t xml:space="preserve">a </w:t>
      </w:r>
      <w:r w:rsidRPr="00BF0688">
        <w:rPr>
          <w:rFonts w:ascii="Garamond" w:hAnsi="Garamond"/>
          <w:b/>
          <w:bCs/>
          <w:color w:val="000000"/>
          <w:sz w:val="22"/>
          <w:szCs w:val="22"/>
        </w:rPr>
        <w:t>10.83</w:t>
      </w:r>
      <w:r w:rsidRPr="00BF0688">
        <w:rPr>
          <w:rFonts w:ascii="Garamond" w:hAnsi="Garamond"/>
          <w:color w:val="000000"/>
          <w:sz w:val="22"/>
          <w:szCs w:val="22"/>
        </w:rPr>
        <w:t xml:space="preserve"> percentage-point increase from the 60% baseline. The Best scenario reaches 72%, generating $144,000 in additional annual revenue and leaving </w:t>
      </w:r>
      <w:r w:rsidRPr="00BF0688">
        <w:rPr>
          <w:rFonts w:ascii="Garamond" w:hAnsi="Garamond"/>
          <w:b/>
          <w:bCs/>
          <w:color w:val="000000"/>
          <w:sz w:val="22"/>
          <w:szCs w:val="22"/>
        </w:rPr>
        <w:t>$14,000</w:t>
      </w:r>
      <w:r w:rsidRPr="00BF0688">
        <w:rPr>
          <w:rFonts w:ascii="Garamond" w:hAnsi="Garamond"/>
          <w:color w:val="000000"/>
          <w:sz w:val="22"/>
          <w:szCs w:val="22"/>
        </w:rPr>
        <w:t xml:space="preserve"> after the initial investment. This does not establish full financial break-even because additional delivery and ongoing portal costs are excluded.</w:t>
      </w:r>
    </w:p>
    <w:p w14:paraId="64462533" w14:textId="376EC3DB" w:rsidR="00A72146" w:rsidRPr="00BF0688" w:rsidRDefault="00000000" w:rsidP="00363F3D">
      <w:pPr>
        <w:pStyle w:val="Heading1"/>
        <w:rPr>
          <w:rFonts w:ascii="Garamond" w:hAnsi="Garamond"/>
          <w:sz w:val="22"/>
          <w:szCs w:val="22"/>
        </w:rPr>
      </w:pPr>
      <w:r w:rsidRPr="00BF0688">
        <w:rPr>
          <w:rFonts w:ascii="Garamond" w:hAnsi="Garamond"/>
          <w:sz w:val="22"/>
          <w:szCs w:val="22"/>
        </w:rPr>
        <w:t>Sensitivity and key assumptions</w:t>
      </w:r>
    </w:p>
    <w:p w14:paraId="2BD75D5A" w14:textId="20B0EC81" w:rsidR="00A72146" w:rsidRPr="00BF0688" w:rsidRDefault="00363F3D" w:rsidP="00363F3D">
      <w:pPr>
        <w:pStyle w:val="NormalWeb"/>
        <w:rPr>
          <w:rFonts w:ascii="Garamond" w:hAnsi="Garamond"/>
          <w:color w:val="000000"/>
          <w:sz w:val="22"/>
          <w:szCs w:val="22"/>
        </w:rPr>
      </w:pPr>
      <w:r w:rsidRPr="00BF0688">
        <w:rPr>
          <w:rFonts w:ascii="Garamond" w:hAnsi="Garamond"/>
          <w:color w:val="000000"/>
          <w:sz w:val="22"/>
          <w:szCs w:val="22"/>
        </w:rPr>
        <w:t>At 70% participant completion, forecast annual revenue is $1,320,000 with a $40,000 contract value, compared with $1,155,000 at $35,000, demonstrating that lower contract values can offset completion improvements. These estimates assume each percentage-point change in completion produces a 1% change in annual contract volume relative to baseline within the forecast year. This relationship is unverified, and revenue is assumed to be spread evenly across 12 months.</w:t>
      </w:r>
    </w:p>
    <w:p w14:paraId="2F9A996B" w14:textId="77777777" w:rsidR="0047097E" w:rsidRPr="00BF0688" w:rsidRDefault="00000000">
      <w:pPr>
        <w:pStyle w:val="Heading1"/>
        <w:rPr>
          <w:rFonts w:ascii="Garamond" w:hAnsi="Garamond"/>
          <w:sz w:val="22"/>
          <w:szCs w:val="22"/>
        </w:rPr>
      </w:pPr>
      <w:r w:rsidRPr="00BF0688">
        <w:rPr>
          <w:rFonts w:ascii="Garamond" w:hAnsi="Garamond"/>
          <w:sz w:val="22"/>
          <w:szCs w:val="22"/>
        </w:rPr>
        <w:t>Conditions and next actions</w:t>
      </w:r>
    </w:p>
    <w:p w14:paraId="05B9BF07" w14:textId="77777777" w:rsidR="00363F3D" w:rsidRPr="00BF0688" w:rsidRDefault="00363F3D" w:rsidP="00363F3D">
      <w:pPr>
        <w:pStyle w:val="NormalWeb"/>
        <w:rPr>
          <w:rFonts w:ascii="Garamond" w:hAnsi="Garamond"/>
          <w:color w:val="000000"/>
          <w:sz w:val="22"/>
          <w:szCs w:val="22"/>
        </w:rPr>
      </w:pPr>
      <w:r w:rsidRPr="00BF0688">
        <w:rPr>
          <w:rFonts w:ascii="Garamond" w:hAnsi="Garamond"/>
          <w:color w:val="000000"/>
          <w:sz w:val="22"/>
          <w:szCs w:val="22"/>
        </w:rPr>
        <w:t>Grad Careers should validate the assumed link between completion and contract renewals using historical renewal data and partner feedback. The proposed program lead should assess whether the completion improvement is achievable, while finance and technology leads should confirm additional delivery and ongoing portal costs. These findings should inform an updated financial assessment before leadership approves the $130,000 investment.</w:t>
      </w:r>
    </w:p>
    <w:p w14:paraId="58FC7250" w14:textId="5E628CA0" w:rsidR="0047097E" w:rsidRDefault="0047097E" w:rsidP="00363F3D"/>
    <w:sectPr w:rsidR="0047097E"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9326F0" w14:textId="77777777" w:rsidR="00F223A3" w:rsidRDefault="00F223A3">
      <w:pPr>
        <w:spacing w:after="0" w:line="240" w:lineRule="auto"/>
      </w:pPr>
      <w:r>
        <w:separator/>
      </w:r>
    </w:p>
  </w:endnote>
  <w:endnote w:type="continuationSeparator" w:id="0">
    <w:p w14:paraId="47649AE5" w14:textId="77777777" w:rsidR="00F223A3" w:rsidRDefault="00F22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3FDEA" w14:textId="77777777" w:rsidR="0047097E" w:rsidRDefault="00000000">
    <w:pPr>
      <w:pStyle w:val="Footer"/>
    </w:pPr>
    <w:r>
      <w:rPr>
        <w:sz w:val="18"/>
      </w:rPr>
      <w:t>Project 4  |  Illustrative model using assignment sample figures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138EA0" w14:textId="77777777" w:rsidR="00F223A3" w:rsidRDefault="00F223A3">
      <w:pPr>
        <w:spacing w:after="0" w:line="240" w:lineRule="auto"/>
      </w:pPr>
      <w:r>
        <w:separator/>
      </w:r>
    </w:p>
  </w:footnote>
  <w:footnote w:type="continuationSeparator" w:id="0">
    <w:p w14:paraId="53E4481C" w14:textId="77777777" w:rsidR="00F223A3" w:rsidRDefault="00F223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247534">
    <w:abstractNumId w:val="8"/>
  </w:num>
  <w:num w:numId="2" w16cid:durableId="806750448">
    <w:abstractNumId w:val="6"/>
  </w:num>
  <w:num w:numId="3" w16cid:durableId="1941569568">
    <w:abstractNumId w:val="5"/>
  </w:num>
  <w:num w:numId="4" w16cid:durableId="53815357">
    <w:abstractNumId w:val="4"/>
  </w:num>
  <w:num w:numId="5" w16cid:durableId="710766136">
    <w:abstractNumId w:val="7"/>
  </w:num>
  <w:num w:numId="6" w16cid:durableId="1500995930">
    <w:abstractNumId w:val="3"/>
  </w:num>
  <w:num w:numId="7" w16cid:durableId="1272857150">
    <w:abstractNumId w:val="2"/>
  </w:num>
  <w:num w:numId="8" w16cid:durableId="1967000770">
    <w:abstractNumId w:val="1"/>
  </w:num>
  <w:num w:numId="9" w16cid:durableId="18600015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645"/>
    <w:rsid w:val="0015074B"/>
    <w:rsid w:val="001C2FC9"/>
    <w:rsid w:val="00226216"/>
    <w:rsid w:val="0029639D"/>
    <w:rsid w:val="00326F90"/>
    <w:rsid w:val="00363F3D"/>
    <w:rsid w:val="0047097E"/>
    <w:rsid w:val="004B6ACD"/>
    <w:rsid w:val="0054626C"/>
    <w:rsid w:val="00714C1D"/>
    <w:rsid w:val="007B1D5A"/>
    <w:rsid w:val="00A72146"/>
    <w:rsid w:val="00AA1D8D"/>
    <w:rsid w:val="00B47730"/>
    <w:rsid w:val="00BF0688"/>
    <w:rsid w:val="00CB0664"/>
    <w:rsid w:val="00D8268C"/>
    <w:rsid w:val="00F223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00291"/>
  <w14:defaultImageDpi w14:val="300"/>
  <w15:docId w15:val="{AFBB154B-2DC4-6A48-9716-72D63F94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C2FC9"/>
    <w:pPr>
      <w:spacing w:before="100" w:beforeAutospacing="1" w:after="100" w:afterAutospacing="1" w:line="240" w:lineRule="auto"/>
    </w:pPr>
    <w:rPr>
      <w:rFonts w:ascii="Times New Roman" w:eastAsia="Times New Roman" w:hAnsi="Times New Roman" w:cs="Times New Roman"/>
      <w:color w:val="auto"/>
      <w:sz w:val="24"/>
      <w:szCs w:val="24"/>
      <w:lang w:val="en-AU"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Milind Koak</cp:lastModifiedBy>
  <cp:revision>6</cp:revision>
  <dcterms:created xsi:type="dcterms:W3CDTF">2026-10-13T04:15:00Z</dcterms:created>
  <dcterms:modified xsi:type="dcterms:W3CDTF">2026-10-15T02:54:00Z</dcterms:modified>
  <cp:category/>
</cp:coreProperties>
</file>