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4000E2" w14:textId="0B3EDC46" w:rsidR="009F7EFD" w:rsidRPr="00F90F35" w:rsidRDefault="00000000" w:rsidP="00F90F35">
      <w:pPr>
        <w:pStyle w:val="Title"/>
        <w:jc w:val="center"/>
        <w:rPr>
          <w:rFonts w:ascii="Garamond" w:hAnsi="Garamond"/>
          <w:b/>
          <w:bCs/>
          <w:sz w:val="36"/>
          <w:szCs w:val="40"/>
          <w:u w:val="single"/>
        </w:rPr>
      </w:pPr>
      <w:r w:rsidRPr="00F90F35">
        <w:rPr>
          <w:rFonts w:ascii="Garamond" w:hAnsi="Garamond"/>
          <w:b/>
          <w:bCs/>
          <w:sz w:val="36"/>
          <w:szCs w:val="40"/>
          <w:u w:val="single"/>
        </w:rPr>
        <w:t xml:space="preserve">Grad Careers Q1 </w:t>
      </w:r>
      <w:r w:rsidR="00F90F35" w:rsidRPr="00F90F35">
        <w:rPr>
          <w:rFonts w:ascii="Garamond" w:hAnsi="Garamond"/>
          <w:b/>
          <w:bCs/>
          <w:sz w:val="36"/>
          <w:szCs w:val="40"/>
          <w:u w:val="single"/>
        </w:rPr>
        <w:t xml:space="preserve">2026: </w:t>
      </w:r>
      <w:r w:rsidRPr="00F90F35">
        <w:rPr>
          <w:rFonts w:ascii="Garamond" w:hAnsi="Garamond"/>
          <w:b/>
          <w:bCs/>
          <w:sz w:val="36"/>
          <w:szCs w:val="40"/>
          <w:u w:val="single"/>
        </w:rPr>
        <w:t>Insights and Recommended Actions</w:t>
      </w:r>
    </w:p>
    <w:p w14:paraId="1C798B64" w14:textId="77777777" w:rsidR="009F7EFD" w:rsidRPr="00F90F35" w:rsidRDefault="00000000">
      <w:pPr>
        <w:pStyle w:val="Heading1"/>
        <w:rPr>
          <w:rFonts w:ascii="Garamond" w:hAnsi="Garamond"/>
        </w:rPr>
      </w:pPr>
      <w:r w:rsidRPr="00F90F35">
        <w:rPr>
          <w:rFonts w:ascii="Garamond" w:hAnsi="Garamond"/>
        </w:rPr>
        <w:t>Executive summary</w:t>
      </w:r>
    </w:p>
    <w:p w14:paraId="4B08F610" w14:textId="74579BD0" w:rsidR="00F90F35" w:rsidRPr="00F90F35" w:rsidRDefault="00F90F35" w:rsidP="00F90F35">
      <w:pPr>
        <w:pStyle w:val="NormalWeb"/>
        <w:rPr>
          <w:rFonts w:ascii="Garamond" w:hAnsi="Garamond"/>
          <w:color w:val="000000"/>
        </w:rPr>
      </w:pPr>
      <w:r w:rsidRPr="00F90F35">
        <w:rPr>
          <w:rFonts w:ascii="Garamond" w:hAnsi="Garamond"/>
          <w:color w:val="000000"/>
        </w:rPr>
        <w:t>The Q1 2026 data shows that 40% of enrolled participants did not complete their workshops, 52% were recorded as having no outcome, and partner completion rates ranged from 56.5% to 62.5%. Grad Careers should investigate attendance and non-completion barriers, follow up to confirm participants’ employment or study status, and work with partners to identify targeted support improvements.</w:t>
      </w:r>
    </w:p>
    <w:p w14:paraId="5C02295A" w14:textId="77777777" w:rsidR="009F7EFD" w:rsidRPr="00F90F35" w:rsidRDefault="00000000">
      <w:pPr>
        <w:pStyle w:val="Heading1"/>
        <w:rPr>
          <w:rFonts w:ascii="Garamond" w:hAnsi="Garamond"/>
        </w:rPr>
      </w:pPr>
      <w:r w:rsidRPr="00F90F35">
        <w:rPr>
          <w:rFonts w:ascii="Garamond" w:hAnsi="Garamond"/>
        </w:rPr>
        <w:t>Key insights and actions</w:t>
      </w:r>
    </w:p>
    <w:tbl>
      <w:tblPr>
        <w:tblW w:w="10224" w:type="dxa"/>
        <w:jc w:val="center"/>
        <w:tblLayout w:type="fixed"/>
        <w:tblLook w:val="04A0" w:firstRow="1" w:lastRow="0" w:firstColumn="1" w:lastColumn="0" w:noHBand="0" w:noVBand="1"/>
      </w:tblPr>
      <w:tblGrid>
        <w:gridCol w:w="2880"/>
        <w:gridCol w:w="3240"/>
        <w:gridCol w:w="4104"/>
      </w:tblGrid>
      <w:tr w:rsidR="00F45CC5" w:rsidRPr="00F90F35" w14:paraId="1E21D1C7" w14:textId="77777777" w:rsidTr="00F45CC5">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0354D"/>
            <w:tcMar>
              <w:top w:w="120" w:type="dxa"/>
              <w:left w:w="120" w:type="dxa"/>
              <w:bottom w:w="120" w:type="dxa"/>
              <w:right w:w="120" w:type="dxa"/>
            </w:tcMar>
            <w:vAlign w:val="center"/>
          </w:tcPr>
          <w:p w14:paraId="59F94905" w14:textId="2167DBAB" w:rsidR="00F45CC5" w:rsidRPr="00F90F35" w:rsidRDefault="00F45CC5">
            <w:pPr>
              <w:spacing w:after="60"/>
              <w:rPr>
                <w:rFonts w:ascii="Garamond" w:hAnsi="Garamond"/>
              </w:rPr>
            </w:pPr>
            <w:r w:rsidRPr="00F90F35">
              <w:rPr>
                <w:rFonts w:ascii="Garamond" w:hAnsi="Garamond"/>
                <w:b/>
                <w:color w:val="FFFFFF"/>
              </w:rPr>
              <w:t>Key insight</w:t>
            </w:r>
          </w:p>
        </w:tc>
        <w:tc>
          <w:tcPr>
            <w:tcW w:w="3240" w:type="dxa"/>
            <w:tcBorders>
              <w:top w:val="single" w:sz="4" w:space="0" w:color="D9D9D9"/>
              <w:left w:val="single" w:sz="4" w:space="0" w:color="D9D9D9"/>
              <w:bottom w:val="single" w:sz="4" w:space="0" w:color="D9D9D9"/>
              <w:right w:val="single" w:sz="4" w:space="0" w:color="D9D9D9"/>
            </w:tcBorders>
            <w:shd w:val="clear" w:color="auto" w:fill="20354D"/>
            <w:tcMar>
              <w:top w:w="120" w:type="dxa"/>
              <w:left w:w="120" w:type="dxa"/>
              <w:bottom w:w="120" w:type="dxa"/>
              <w:right w:w="120" w:type="dxa"/>
            </w:tcMar>
            <w:vAlign w:val="center"/>
          </w:tcPr>
          <w:p w14:paraId="4B73312A" w14:textId="77777777" w:rsidR="00F45CC5" w:rsidRPr="00F90F35" w:rsidRDefault="00F45CC5">
            <w:pPr>
              <w:spacing w:after="60"/>
              <w:rPr>
                <w:rFonts w:ascii="Garamond" w:hAnsi="Garamond"/>
              </w:rPr>
            </w:pPr>
            <w:r w:rsidRPr="00F90F35">
              <w:rPr>
                <w:rFonts w:ascii="Garamond" w:hAnsi="Garamond"/>
                <w:b/>
                <w:color w:val="FFFFFF"/>
              </w:rPr>
              <w:t>Evidence</w:t>
            </w:r>
          </w:p>
        </w:tc>
        <w:tc>
          <w:tcPr>
            <w:tcW w:w="4104" w:type="dxa"/>
            <w:tcBorders>
              <w:top w:val="single" w:sz="4" w:space="0" w:color="D9D9D9"/>
              <w:left w:val="single" w:sz="4" w:space="0" w:color="D9D9D9"/>
              <w:bottom w:val="single" w:sz="4" w:space="0" w:color="D9D9D9"/>
              <w:right w:val="single" w:sz="4" w:space="0" w:color="D9D9D9"/>
            </w:tcBorders>
            <w:shd w:val="clear" w:color="auto" w:fill="20354D"/>
            <w:tcMar>
              <w:top w:w="120" w:type="dxa"/>
              <w:left w:w="120" w:type="dxa"/>
              <w:bottom w:w="120" w:type="dxa"/>
              <w:right w:w="120" w:type="dxa"/>
            </w:tcMar>
            <w:vAlign w:val="center"/>
          </w:tcPr>
          <w:p w14:paraId="1D31E4C3" w14:textId="77777777" w:rsidR="00F45CC5" w:rsidRPr="00F90F35" w:rsidRDefault="00F45CC5">
            <w:pPr>
              <w:spacing w:after="60"/>
              <w:rPr>
                <w:rFonts w:ascii="Garamond" w:hAnsi="Garamond"/>
              </w:rPr>
            </w:pPr>
            <w:r w:rsidRPr="00F90F35">
              <w:rPr>
                <w:rFonts w:ascii="Garamond" w:hAnsi="Garamond"/>
                <w:b/>
                <w:color w:val="FFFFFF"/>
              </w:rPr>
              <w:t>Recommended action</w:t>
            </w:r>
          </w:p>
        </w:tc>
      </w:tr>
      <w:tr w:rsidR="00F45CC5" w:rsidRPr="00F90F35" w14:paraId="2146ECCE" w14:textId="77777777" w:rsidTr="00F45CC5">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8"/>
            <w:tcMar>
              <w:top w:w="120" w:type="dxa"/>
              <w:left w:w="120" w:type="dxa"/>
              <w:bottom w:w="120" w:type="dxa"/>
              <w:right w:w="120" w:type="dxa"/>
            </w:tcMar>
            <w:vAlign w:val="center"/>
          </w:tcPr>
          <w:p w14:paraId="127976F8" w14:textId="41253F4D" w:rsidR="00F45CC5" w:rsidRPr="00F90F35" w:rsidRDefault="00F45CC5">
            <w:pPr>
              <w:spacing w:after="60"/>
              <w:rPr>
                <w:rFonts w:ascii="Garamond" w:hAnsi="Garamond"/>
              </w:rPr>
            </w:pPr>
            <w:r w:rsidRPr="00F90F35">
              <w:rPr>
                <w:rFonts w:ascii="Garamond" w:hAnsi="Garamond"/>
              </w:rPr>
              <w:t xml:space="preserve">1. </w:t>
            </w:r>
            <w:r w:rsidRPr="00F90F35">
              <w:rPr>
                <w:rFonts w:ascii="Garamond" w:hAnsi="Garamond"/>
              </w:rPr>
              <w:t>Workshop non-completion affects 40% of enrolled participants, highlighting a need to investigate barriers to completion.</w:t>
            </w:r>
          </w:p>
        </w:tc>
        <w:tc>
          <w:tcPr>
            <w:tcW w:w="3240" w:type="dxa"/>
            <w:tcBorders>
              <w:top w:val="single" w:sz="4" w:space="0" w:color="D9D9D9"/>
              <w:left w:val="single" w:sz="4" w:space="0" w:color="D9D9D9"/>
              <w:bottom w:val="single" w:sz="4" w:space="0" w:color="D9D9D9"/>
              <w:right w:val="single" w:sz="4" w:space="0" w:color="D9D9D9"/>
            </w:tcBorders>
            <w:shd w:val="clear" w:color="auto" w:fill="F2F5F8"/>
            <w:tcMar>
              <w:top w:w="120" w:type="dxa"/>
              <w:left w:w="120" w:type="dxa"/>
              <w:bottom w:w="120" w:type="dxa"/>
              <w:right w:w="120" w:type="dxa"/>
            </w:tcMar>
            <w:vAlign w:val="center"/>
          </w:tcPr>
          <w:p w14:paraId="58D5B9FF" w14:textId="3805FFA3" w:rsidR="00F45CC5" w:rsidRPr="00F90F35" w:rsidRDefault="00F45CC5">
            <w:pPr>
              <w:spacing w:after="60"/>
              <w:rPr>
                <w:rFonts w:ascii="Garamond" w:hAnsi="Garamond"/>
              </w:rPr>
            </w:pPr>
            <w:r w:rsidRPr="00F90F35">
              <w:rPr>
                <w:rFonts w:ascii="Garamond" w:hAnsi="Garamond"/>
              </w:rPr>
              <w:t>Of 1,600 enrolled participants, 960 completed the workshop (60%) and 640 did not complete (40%).</w:t>
            </w:r>
          </w:p>
        </w:tc>
        <w:tc>
          <w:tcPr>
            <w:tcW w:w="4104" w:type="dxa"/>
            <w:tcBorders>
              <w:top w:val="single" w:sz="4" w:space="0" w:color="D9D9D9"/>
              <w:left w:val="single" w:sz="4" w:space="0" w:color="D9D9D9"/>
              <w:bottom w:val="single" w:sz="4" w:space="0" w:color="D9D9D9"/>
              <w:right w:val="single" w:sz="4" w:space="0" w:color="D9D9D9"/>
            </w:tcBorders>
            <w:shd w:val="clear" w:color="auto" w:fill="F2F5F8"/>
            <w:tcMar>
              <w:top w:w="120" w:type="dxa"/>
              <w:left w:w="120" w:type="dxa"/>
              <w:bottom w:w="120" w:type="dxa"/>
              <w:right w:w="120" w:type="dxa"/>
            </w:tcMar>
            <w:vAlign w:val="center"/>
          </w:tcPr>
          <w:p w14:paraId="1A4D446E" w14:textId="20706853" w:rsidR="00F45CC5" w:rsidRPr="00F90F35" w:rsidRDefault="00F45CC5">
            <w:pPr>
              <w:spacing w:after="60"/>
              <w:rPr>
                <w:rFonts w:ascii="Garamond" w:hAnsi="Garamond"/>
              </w:rPr>
            </w:pPr>
            <w:r w:rsidRPr="00F90F35">
              <w:rPr>
                <w:rFonts w:ascii="Garamond" w:hAnsi="Garamond"/>
              </w:rPr>
              <w:t>Enrolment officers should record participant-reported reasons for non-completion, marking unknown reasons accordingly. Grad Careers should review these records for common barriers and use the findings to recommend targeted improvements to participant support.</w:t>
            </w:r>
          </w:p>
        </w:tc>
      </w:tr>
      <w:tr w:rsidR="00F45CC5" w:rsidRPr="00F90F35" w14:paraId="333F3643" w14:textId="77777777" w:rsidTr="00F45CC5">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20" w:type="dxa"/>
              <w:bottom w:w="120" w:type="dxa"/>
              <w:right w:w="120" w:type="dxa"/>
            </w:tcMar>
            <w:vAlign w:val="center"/>
          </w:tcPr>
          <w:p w14:paraId="38F76132" w14:textId="0E9D218A" w:rsidR="00F45CC5" w:rsidRPr="00F90F35" w:rsidRDefault="00F45CC5">
            <w:pPr>
              <w:spacing w:after="60"/>
              <w:rPr>
                <w:rFonts w:ascii="Garamond" w:hAnsi="Garamond"/>
              </w:rPr>
            </w:pPr>
            <w:r w:rsidRPr="00F90F35">
              <w:rPr>
                <w:rFonts w:ascii="Garamond" w:hAnsi="Garamond"/>
              </w:rPr>
              <w:t xml:space="preserve">2. </w:t>
            </w:r>
            <w:r w:rsidR="003C13F0" w:rsidRPr="00F90F35">
              <w:rPr>
                <w:rFonts w:ascii="Garamond" w:hAnsi="Garamond"/>
              </w:rPr>
              <w:t>Employment or further-study outcomes have not been established for 52% of enrolled participants, limiting visibility of participant results.</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20" w:type="dxa"/>
              <w:bottom w:w="120" w:type="dxa"/>
              <w:right w:w="120" w:type="dxa"/>
            </w:tcMar>
            <w:vAlign w:val="center"/>
          </w:tcPr>
          <w:p w14:paraId="05588426" w14:textId="272B4A52" w:rsidR="00F45CC5" w:rsidRPr="00F90F35" w:rsidRDefault="003C13F0">
            <w:pPr>
              <w:spacing w:after="60"/>
              <w:rPr>
                <w:rFonts w:ascii="Garamond" w:hAnsi="Garamond"/>
              </w:rPr>
            </w:pPr>
            <w:r w:rsidRPr="00F90F35">
              <w:rPr>
                <w:rFonts w:ascii="Garamond" w:hAnsi="Garamond"/>
              </w:rPr>
              <w:t>Of 1,600 enrolled participants, 832 (52%) are recorded as “No outcome”. The remaining 768 (48%) are recorded as employed or in further study.</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120" w:type="dxa"/>
              <w:left w:w="120" w:type="dxa"/>
              <w:bottom w:w="120" w:type="dxa"/>
              <w:right w:w="120" w:type="dxa"/>
            </w:tcMar>
            <w:vAlign w:val="center"/>
          </w:tcPr>
          <w:p w14:paraId="2FD25622" w14:textId="364A4E0D" w:rsidR="00F45CC5" w:rsidRPr="00F90F35" w:rsidRDefault="003C13F0">
            <w:pPr>
              <w:spacing w:after="60"/>
              <w:rPr>
                <w:rFonts w:ascii="Garamond" w:hAnsi="Garamond"/>
              </w:rPr>
            </w:pPr>
            <w:r w:rsidRPr="00F90F35">
              <w:rPr>
                <w:rFonts w:ascii="Garamond" w:hAnsi="Garamond"/>
              </w:rPr>
              <w:t>Grad Careers staff should follow up with participants recorded as “No outcome” to confirm their current employment or study status and update their digital records. Where no positive outcome is confirmed, staff should assess whether further support is needed.</w:t>
            </w:r>
          </w:p>
        </w:tc>
      </w:tr>
      <w:tr w:rsidR="00F45CC5" w:rsidRPr="00F90F35" w14:paraId="32D28297" w14:textId="77777777" w:rsidTr="00F45CC5">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8"/>
            <w:tcMar>
              <w:top w:w="120" w:type="dxa"/>
              <w:left w:w="120" w:type="dxa"/>
              <w:bottom w:w="120" w:type="dxa"/>
              <w:right w:w="120" w:type="dxa"/>
            </w:tcMar>
            <w:vAlign w:val="center"/>
          </w:tcPr>
          <w:p w14:paraId="1B116F00" w14:textId="59841452" w:rsidR="00F45CC5" w:rsidRPr="00F90F35" w:rsidRDefault="00F45CC5">
            <w:pPr>
              <w:spacing w:after="60"/>
              <w:rPr>
                <w:rFonts w:ascii="Garamond" w:hAnsi="Garamond"/>
              </w:rPr>
            </w:pPr>
            <w:r w:rsidRPr="00F90F35">
              <w:rPr>
                <w:rFonts w:ascii="Garamond" w:hAnsi="Garamond"/>
              </w:rPr>
              <w:t xml:space="preserve">3. </w:t>
            </w:r>
            <w:r w:rsidR="00F90F35" w:rsidRPr="00F90F35">
              <w:rPr>
                <w:rFonts w:ascii="Garamond" w:hAnsi="Garamond"/>
              </w:rPr>
              <w:t>Overall workshop completion rates vary across partners, with Jobs Victoria recording the lowest rate and City of Melbourne the highest. The difference warrants further investigation.</w:t>
            </w:r>
          </w:p>
        </w:tc>
        <w:tc>
          <w:tcPr>
            <w:tcW w:w="3240" w:type="dxa"/>
            <w:tcBorders>
              <w:top w:val="single" w:sz="4" w:space="0" w:color="D9D9D9"/>
              <w:left w:val="single" w:sz="4" w:space="0" w:color="D9D9D9"/>
              <w:bottom w:val="single" w:sz="4" w:space="0" w:color="D9D9D9"/>
              <w:right w:val="single" w:sz="4" w:space="0" w:color="D9D9D9"/>
            </w:tcBorders>
            <w:shd w:val="clear" w:color="auto" w:fill="F2F5F8"/>
            <w:tcMar>
              <w:top w:w="120" w:type="dxa"/>
              <w:left w:w="120" w:type="dxa"/>
              <w:bottom w:w="120" w:type="dxa"/>
              <w:right w:w="120" w:type="dxa"/>
            </w:tcMar>
            <w:vAlign w:val="center"/>
          </w:tcPr>
          <w:p w14:paraId="06DC117E" w14:textId="1E31D6A1" w:rsidR="00F45CC5" w:rsidRPr="00F90F35" w:rsidRDefault="00F90F35">
            <w:pPr>
              <w:spacing w:after="60"/>
              <w:rPr>
                <w:rFonts w:ascii="Garamond" w:hAnsi="Garamond"/>
              </w:rPr>
            </w:pPr>
            <w:r w:rsidRPr="00F90F35">
              <w:rPr>
                <w:rFonts w:ascii="Garamond" w:hAnsi="Garamond"/>
              </w:rPr>
              <w:t>Completion rates range from 56.5% for Jobs Victoria to 62.5% for City of Melbourne</w:t>
            </w:r>
            <w:r w:rsidRPr="00F90F35">
              <w:rPr>
                <w:rFonts w:ascii="Garamond" w:hAnsi="Garamond"/>
              </w:rPr>
              <w:t xml:space="preserve">, </w:t>
            </w:r>
            <w:r w:rsidRPr="00F90F35">
              <w:rPr>
                <w:rFonts w:ascii="Garamond" w:hAnsi="Garamond"/>
              </w:rPr>
              <w:t>a gap of 6 percentage points. Each partner enrolled 200 participants. The University of Sydney recorded 57.0%, followed by Monash University at 59.5%.</w:t>
            </w:r>
          </w:p>
        </w:tc>
        <w:tc>
          <w:tcPr>
            <w:tcW w:w="4104" w:type="dxa"/>
            <w:tcBorders>
              <w:top w:val="single" w:sz="4" w:space="0" w:color="D9D9D9"/>
              <w:left w:val="single" w:sz="4" w:space="0" w:color="D9D9D9"/>
              <w:bottom w:val="single" w:sz="4" w:space="0" w:color="D9D9D9"/>
              <w:right w:val="single" w:sz="4" w:space="0" w:color="D9D9D9"/>
            </w:tcBorders>
            <w:shd w:val="clear" w:color="auto" w:fill="F2F5F8"/>
            <w:tcMar>
              <w:top w:w="120" w:type="dxa"/>
              <w:left w:w="120" w:type="dxa"/>
              <w:bottom w:w="120" w:type="dxa"/>
              <w:right w:w="120" w:type="dxa"/>
            </w:tcMar>
            <w:vAlign w:val="center"/>
          </w:tcPr>
          <w:p w14:paraId="4397D4FB" w14:textId="2E13C921" w:rsidR="00F45CC5" w:rsidRPr="00F90F35" w:rsidRDefault="00F90F35">
            <w:pPr>
              <w:spacing w:after="60"/>
              <w:rPr>
                <w:rFonts w:ascii="Garamond" w:hAnsi="Garamond"/>
              </w:rPr>
            </w:pPr>
            <w:r w:rsidRPr="00F90F35">
              <w:rPr>
                <w:rFonts w:ascii="Garamond" w:hAnsi="Garamond"/>
              </w:rPr>
              <w:t>Grad Careers’ program coordinator should work with Jobs Victoria’s delivery staff to review attendance patterns and participant-reported non-completion reasons, identify common barriers and agree targeted support improvements. Success should be assessed by comparing completion rates and participant counts in subsequent comparable cohorts.</w:t>
            </w:r>
          </w:p>
        </w:tc>
      </w:tr>
    </w:tbl>
    <w:p w14:paraId="3346A6EE" w14:textId="77777777" w:rsidR="00F90F35" w:rsidRPr="00F90F35" w:rsidRDefault="00F90F35">
      <w:pPr>
        <w:rPr>
          <w:rFonts w:ascii="Garamond" w:hAnsi="Garamond"/>
        </w:rPr>
      </w:pPr>
    </w:p>
    <w:sectPr w:rsidR="00F90F35" w:rsidRPr="00F90F35" w:rsidSect="00034616">
      <w:footerReference w:type="default" r:id="rId8"/>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9B5E42" w14:textId="77777777" w:rsidR="003A200E" w:rsidRDefault="003A200E">
      <w:pPr>
        <w:spacing w:after="0" w:line="240" w:lineRule="auto"/>
      </w:pPr>
      <w:r>
        <w:separator/>
      </w:r>
    </w:p>
  </w:endnote>
  <w:endnote w:type="continuationSeparator" w:id="0">
    <w:p w14:paraId="435317F4" w14:textId="77777777" w:rsidR="003A200E" w:rsidRDefault="003A2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D9AC1E" w14:textId="77777777" w:rsidR="009F7EFD" w:rsidRDefault="00000000">
    <w:pPr>
      <w:pStyle w:val="Footer"/>
    </w:pPr>
    <w:r>
      <w:rPr>
        <w:sz w:val="18"/>
      </w:rPr>
      <w:t>Grad Careers  |  Q1 2026 sample data  |  Insights and recommended actions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1DF3B5" w14:textId="77777777" w:rsidR="003A200E" w:rsidRDefault="003A200E">
      <w:pPr>
        <w:spacing w:after="0" w:line="240" w:lineRule="auto"/>
      </w:pPr>
      <w:r>
        <w:separator/>
      </w:r>
    </w:p>
  </w:footnote>
  <w:footnote w:type="continuationSeparator" w:id="0">
    <w:p w14:paraId="49F38611" w14:textId="77777777" w:rsidR="003A200E" w:rsidRDefault="003A20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2310204">
    <w:abstractNumId w:val="8"/>
  </w:num>
  <w:num w:numId="2" w16cid:durableId="1217623700">
    <w:abstractNumId w:val="6"/>
  </w:num>
  <w:num w:numId="3" w16cid:durableId="2013988086">
    <w:abstractNumId w:val="5"/>
  </w:num>
  <w:num w:numId="4" w16cid:durableId="2092727292">
    <w:abstractNumId w:val="4"/>
  </w:num>
  <w:num w:numId="5" w16cid:durableId="1059282533">
    <w:abstractNumId w:val="7"/>
  </w:num>
  <w:num w:numId="6" w16cid:durableId="595480809">
    <w:abstractNumId w:val="3"/>
  </w:num>
  <w:num w:numId="7" w16cid:durableId="399252611">
    <w:abstractNumId w:val="2"/>
  </w:num>
  <w:num w:numId="8" w16cid:durableId="2118669969">
    <w:abstractNumId w:val="1"/>
  </w:num>
  <w:num w:numId="9" w16cid:durableId="6845559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869"/>
    <w:rsid w:val="0015074B"/>
    <w:rsid w:val="0029639D"/>
    <w:rsid w:val="00326F90"/>
    <w:rsid w:val="003A200E"/>
    <w:rsid w:val="003C13F0"/>
    <w:rsid w:val="004C6ED0"/>
    <w:rsid w:val="009F7EFD"/>
    <w:rsid w:val="00A75872"/>
    <w:rsid w:val="00AA1D8D"/>
    <w:rsid w:val="00B47730"/>
    <w:rsid w:val="00CB0664"/>
    <w:rsid w:val="00F45CC5"/>
    <w:rsid w:val="00F90F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927777"/>
  <w14:defaultImageDpi w14:val="300"/>
  <w15:docId w15:val="{23E0FCAD-6779-8245-8BD8-C53997D78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90F35"/>
    <w:pPr>
      <w:spacing w:before="100" w:beforeAutospacing="1" w:after="100" w:afterAutospacing="1" w:line="240" w:lineRule="auto"/>
    </w:pPr>
    <w:rPr>
      <w:rFonts w:ascii="Times New Roman" w:eastAsia="Times New Roman" w:hAnsi="Times New Roman" w:cs="Times New Roman"/>
      <w:color w:val="auto"/>
      <w:sz w:val="24"/>
      <w:szCs w:val="24"/>
      <w:lang w:val="en-AU" w:eastAsia="en-GB"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Milind Koak</cp:lastModifiedBy>
  <cp:revision>2</cp:revision>
  <dcterms:created xsi:type="dcterms:W3CDTF">2026-10-10T02:43:00Z</dcterms:created>
  <dcterms:modified xsi:type="dcterms:W3CDTF">2026-10-10T02:43:00Z</dcterms:modified>
  <cp:category/>
</cp:coreProperties>
</file>