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0"/>
        <w:jc w:val="center"/>
      </w:pPr>
      <w:r>
        <w:drawing>
          <wp:inline distT="0" distB="0" distL="0" distR="0">
            <wp:extent cx="914400" cy="914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160"/>
        <w:jc w:val="center"/>
      </w:pPr>
      <w:r>
        <w:rPr>
          <w:rFonts w:ascii="Calibri" w:cs="Calibri" w:eastAsia="Calibri" w:hAnsi="Calibri"/>
          <w:b/>
          <w:bCs/>
          <w:color w:val="0B2032"/>
          <w:sz w:val="44"/>
          <w:szCs w:val="44"/>
        </w:rPr>
        <w:t xml:space="preserve">Bandhan Sahayak</w:t>
      </w:r>
    </w:p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D91F2C"/>
          <w:sz w:val="18"/>
          <w:szCs w:val="18"/>
        </w:rPr>
        <w:t xml:space="preserve">AI VIRTUAL ASSISTANT</w:t>
      </w:r>
    </w:p>
    <w:p>
      <w:pPr>
        <w:spacing w:after="0" w:before="220"/>
        <w:jc w:val="center"/>
      </w:pPr>
      <w:r>
        <w:rPr>
          <w:rFonts w:ascii="Calibri" w:cs="Calibri" w:eastAsia="Calibri" w:hAnsi="Calibri"/>
          <w:b/>
          <w:bCs/>
          <w:color w:val="1B2B38"/>
          <w:sz w:val="30"/>
          <w:szCs w:val="30"/>
        </w:rPr>
        <w:t xml:space="preserve">User Journeys &amp; Use Cases</w:t>
      </w:r>
    </w:p>
    <w:p>
      <w:pPr>
        <w:spacing w:after="0" w:before="60"/>
        <w:jc w:val="center"/>
      </w:pPr>
      <w:r>
        <w:rPr>
          <w:rFonts w:ascii="Calibri" w:cs="Calibri" w:eastAsia="Calibri" w:hAnsi="Calibri"/>
          <w:i/>
          <w:iCs/>
          <w:color w:val="5C6B7A"/>
          <w:sz w:val="22"/>
          <w:szCs w:val="22"/>
        </w:rPr>
        <w:t xml:space="preserve">A walkthrough for client conversations</w:t>
      </w:r>
    </w:p>
    <w:p>
      <w:pPr>
        <w:pBdr>
          <w:top w:val="single" w:color="D9E1EA" w:sz="4" w:space="6"/>
        </w:pBdr>
        <w:spacing w:before="500"/>
        <w:jc w:val="center"/>
      </w:pPr>
      <w:r>
        <w:rPr>
          <w:rFonts w:ascii="Calibri" w:cs="Calibri" w:eastAsia="Calibri" w:hAnsi="Calibri"/>
          <w:color w:val="5C6B7A"/>
          <w:sz w:val="18"/>
          <w:szCs w:val="18"/>
        </w:rPr>
        <w:t xml:space="preserve">Prepared by Business Analysis · Applied Cloud Computing</w:t>
      </w:r>
    </w:p>
    <w:p>
      <w:r>
        <w:br w:type="page"/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0B2032"/>
          <w:sz w:val="30"/>
          <w:szCs w:val="30"/>
        </w:rPr>
        <w:t xml:space="preserve">Overview</w:t>
      </w:r>
    </w:p>
    <w:p>
      <w:pPr>
        <w:spacing w:after="120"/>
      </w:pPr>
      <w:r>
        <w:rPr>
          <w:rFonts w:ascii="Calibri" w:cs="Calibri" w:eastAsia="Calibri" w:hAnsi="Calibri"/>
          <w:color w:val="1B2B38"/>
          <w:sz w:val="21"/>
          <w:szCs w:val="21"/>
        </w:rPr>
        <w:t xml:space="preserve">Bandhan Sahayak is an AI-powered virtual assistant that embeds natively into the bank's website. It combines knowledge-grounded conversation — so answers are accurate, not invented — with guided, secure self-service journeys that let existing customers complete real service requests without a branch visit, a call, or the full net-banking portal. It supports five languages in both text and voice.</w:t>
      </w:r>
    </w:p>
    <w:p>
      <w:pPr>
        <w:spacing w:after="120"/>
      </w:pPr>
      <w:r>
        <w:rPr>
          <w:rFonts w:ascii="Calibri" w:cs="Calibri" w:eastAsia="Calibri" w:hAnsi="Calibri"/>
          <w:color w:val="1B2B38"/>
          <w:sz w:val="21"/>
          <w:szCs w:val="21"/>
        </w:rPr>
        <w:t xml:space="preserve">This document maps who the users are, the journeys they complete end to end, and the full catalogue of use cases the assistant delivers today — ready to share and discuss with the client.</w:t>
      </w:r>
    </w:p>
    <w:p>
      <w:pPr>
        <w:spacing w:after="20" w:before="260"/>
      </w:pPr>
      <w:r>
        <w:rPr>
          <w:rFonts w:ascii="Calibri" w:cs="Calibri" w:eastAsia="Calibri" w:hAnsi="Calibri"/>
          <w:b/>
          <w:bCs/>
          <w:color w:val="D91F2C"/>
          <w:sz w:val="17"/>
          <w:szCs w:val="17"/>
        </w:rPr>
        <w:t xml:space="preserve">WHO USES IT</w:t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0B2032"/>
          <w:sz w:val="30"/>
          <w:szCs w:val="30"/>
        </w:rPr>
        <w:t xml:space="preserve">The two personas</w:t>
      </w:r>
    </w:p>
    <w:tbl>
      <w:tblPr>
        <w:tblW w:type="dxa" w:w="9360"/>
        <w:tblBorders>
          <w:top w:val="single" w:color="D9E1EA" w:sz="4"/>
          <w:left w:val="single" w:color="D9E1EA" w:sz="4"/>
          <w:bottom w:val="single" w:color="D9E1EA" w:sz="4"/>
          <w:right w:val="single" w:color="D9E1EA" w:sz="4"/>
          <w:insideH w:val="single" w:color="D9E1EA" w:sz="4"/>
          <w:insideV w:val="single" w:color="D9E1EA" w:sz="4"/>
        </w:tblBorders>
      </w:tblPr>
      <w:tblGrid>
        <w:gridCol w:w="4680"/>
        <w:gridCol w:w="4680"/>
      </w:tblGrid>
      <w:tr>
        <w:tc>
          <w:tcPr>
            <w:tcW w:type="dxa" w:w="4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2032"/>
                <w:sz w:val="22"/>
                <w:szCs w:val="22"/>
              </w:rPr>
              <w:t xml:space="preserve">Persona A — Prospective Visitor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1B2B38"/>
                <w:sz w:val="20"/>
                <w:szCs w:val="20"/>
              </w:rPr>
              <w:t xml:space="preserve">Not yet a customer. Exploring products, rates and eligibility — often on mobile, often in a regional language. Wants quick answers and an easy way to express interest.</w:t>
            </w:r>
          </w:p>
        </w:tc>
        <w:tc>
          <w:tcPr>
            <w:tcW w:type="dxa" w:w="46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2032"/>
                <w:sz w:val="22"/>
                <w:szCs w:val="22"/>
              </w:rPr>
              <w:t xml:space="preserve">Persona B — Existing Customer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1B2B38"/>
                <w:sz w:val="20"/>
                <w:szCs w:val="20"/>
              </w:rPr>
              <w:t xml:space="preserve">Has an account, registered mobile and debit card. Wants to complete a service task fast — securely and without leaving the chat.</w:t>
            </w:r>
          </w:p>
        </w:tc>
      </w:tr>
    </w:tbl>
    <w:p>
      <w:pPr>
        <w:spacing w:after="20" w:before="260"/>
      </w:pPr>
      <w:r>
        <w:rPr>
          <w:rFonts w:ascii="Calibri" w:cs="Calibri" w:eastAsia="Calibri" w:hAnsi="Calibri"/>
          <w:b/>
          <w:bCs/>
          <w:color w:val="D91F2C"/>
          <w:sz w:val="17"/>
          <w:szCs w:val="17"/>
        </w:rPr>
        <w:t xml:space="preserve">THE EXPERIENCE</w:t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0B2032"/>
          <w:sz w:val="30"/>
          <w:szCs w:val="30"/>
        </w:rPr>
        <w:t xml:space="preserve">Seven signature journeys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5C6B7A"/>
          <w:sz w:val="20"/>
          <w:szCs w:val="20"/>
        </w:rPr>
        <w:t xml:space="preserve">Each is a live, demonstrable flow. Numbered steps show the customer's actions in order.</w:t>
      </w:r>
    </w:p>
    <w:p>
      <w:pPr>
        <w:spacing w:after="40" w:before="220"/>
      </w:pPr>
      <w:r>
        <w:rPr>
          <w:rFonts w:ascii="Calibri" w:cs="Calibri" w:eastAsia="Calibri" w:hAnsi="Calibri"/>
          <w:b/>
          <w:bCs/>
          <w:color w:val="D91F2C"/>
          <w:sz w:val="23"/>
          <w:szCs w:val="23"/>
        </w:rPr>
        <w:t xml:space="preserve">Journey 1  ·  </w:t>
      </w:r>
      <w:r>
        <w:rPr>
          <w:rFonts w:ascii="Calibri" w:cs="Calibri" w:eastAsia="Calibri" w:hAnsi="Calibri"/>
          <w:b/>
          <w:bCs/>
          <w:color w:val="0B2032"/>
          <w:sz w:val="23"/>
          <w:szCs w:val="23"/>
        </w:rPr>
        <w:t xml:space="preserve">Discover a product &amp; express interest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5C6B7A"/>
          <w:sz w:val="19"/>
          <w:szCs w:val="19"/>
        </w:rPr>
        <w:t xml:space="preserve">Prospective Visitor · acquisition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B2B38"/>
          <w:sz w:val="21"/>
          <w:szCs w:val="21"/>
        </w:rPr>
        <w:t xml:space="preserve">Lands on the bank site and opens the assistant from the floating button.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B2B38"/>
          <w:sz w:val="21"/>
          <w:szCs w:val="21"/>
        </w:rPr>
        <w:t xml:space="preserve">Asks “What savings accounts do you offer?” and gets a clear, table-formatted comparison drawn from the bank's own content.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B2B38"/>
          <w:sz w:val="21"/>
          <w:szCs w:val="21"/>
        </w:rPr>
        <w:t xml:space="preserve">Follows up on interest rates and eligibility; answers stay accurate and on-brand.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B2B38"/>
          <w:sz w:val="21"/>
          <w:szCs w:val="21"/>
        </w:rPr>
        <w:t xml:space="preserve">Says “I want to open an account” and the assistant captures name, mobile and interest as a lead.</w:t>
      </w:r>
    </w:p>
    <w:p>
      <w:pPr>
        <w:pBdr>
          <w:left w:val="single" w:color="137A43" w:sz="18" w:space="8"/>
        </w:pBdr>
        <w:shd w:fill="EEF2F7" w:color="auto" w:val="clear"/>
        <w:spacing w:after="60" w:before="60"/>
      </w:pPr>
      <w:r>
        <w:rPr>
          <w:rFonts w:ascii="Calibri" w:cs="Calibri" w:eastAsia="Calibri" w:hAnsi="Calibri"/>
          <w:b/>
          <w:bCs/>
          <w:color w:val="137A43"/>
          <w:sz w:val="20"/>
          <w:szCs w:val="20"/>
        </w:rPr>
        <w:t xml:space="preserve">Outcome:  </w:t>
      </w:r>
      <w:r>
        <w:rPr>
          <w:rFonts w:ascii="Calibri" w:cs="Calibri" w:eastAsia="Calibri" w:hAnsi="Calibri"/>
          <w:color w:val="1B2B38"/>
          <w:sz w:val="20"/>
          <w:szCs w:val="20"/>
        </w:rPr>
        <w:t xml:space="preserve">A qualified lead captured 24×7, with the customer's questions already answered.</w:t>
      </w:r>
    </w:p>
    <w:p>
      <w:pPr>
        <w:spacing w:after="40" w:before="220"/>
      </w:pPr>
      <w:r>
        <w:rPr>
          <w:rFonts w:ascii="Calibri" w:cs="Calibri" w:eastAsia="Calibri" w:hAnsi="Calibri"/>
          <w:b/>
          <w:bCs/>
          <w:color w:val="D91F2C"/>
          <w:sz w:val="23"/>
          <w:szCs w:val="23"/>
        </w:rPr>
        <w:t xml:space="preserve">Journey 2  ·  </w:t>
      </w:r>
      <w:r>
        <w:rPr>
          <w:rFonts w:ascii="Calibri" w:cs="Calibri" w:eastAsia="Calibri" w:hAnsi="Calibri"/>
          <w:b/>
          <w:bCs/>
          <w:color w:val="0B2032"/>
          <w:sz w:val="23"/>
          <w:szCs w:val="23"/>
        </w:rPr>
        <w:t xml:space="preserve">Get help in my own language — by voice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5C6B7A"/>
          <w:sz w:val="19"/>
          <w:szCs w:val="19"/>
        </w:rPr>
        <w:t xml:space="preserve">Either persona · accessibility &amp; inclusion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B2B38"/>
          <w:sz w:val="21"/>
          <w:szCs w:val="21"/>
        </w:rPr>
        <w:t xml:space="preserve">Selects Hindi, Bengali, Marathi or Hinglish before starting.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B2B38"/>
          <w:sz w:val="21"/>
          <w:szCs w:val="21"/>
        </w:rPr>
        <w:t xml:space="preserve">Taps the mic and speaks the question instead of typing.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B2B38"/>
          <w:sz w:val="21"/>
          <w:szCs w:val="21"/>
        </w:rPr>
        <w:t xml:space="preserve">The assistant replies in the same language and reads the answer aloud.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B2B38"/>
          <w:sz w:val="21"/>
          <w:szCs w:val="21"/>
        </w:rPr>
        <w:t xml:space="preserve">Continues naturally, switching between voice and text.</w:t>
      </w:r>
    </w:p>
    <w:p>
      <w:pPr>
        <w:pBdr>
          <w:left w:val="single" w:color="137A43" w:sz="18" w:space="8"/>
        </w:pBdr>
        <w:shd w:fill="EEF2F7" w:color="auto" w:val="clear"/>
        <w:spacing w:after="60" w:before="60"/>
      </w:pPr>
      <w:r>
        <w:rPr>
          <w:rFonts w:ascii="Calibri" w:cs="Calibri" w:eastAsia="Calibri" w:hAnsi="Calibri"/>
          <w:b/>
          <w:bCs/>
          <w:color w:val="137A43"/>
          <w:sz w:val="20"/>
          <w:szCs w:val="20"/>
        </w:rPr>
        <w:t xml:space="preserve">Outcome:  </w:t>
      </w:r>
      <w:r>
        <w:rPr>
          <w:rFonts w:ascii="Calibri" w:cs="Calibri" w:eastAsia="Calibri" w:hAnsi="Calibri"/>
          <w:color w:val="1B2B38"/>
          <w:sz w:val="20"/>
          <w:szCs w:val="20"/>
        </w:rPr>
        <w:t xml:space="preserve">Reaches customers underserved by English-only, text-only channels.</w:t>
      </w:r>
    </w:p>
    <w:p>
      <w:pPr>
        <w:spacing w:after="40" w:before="220"/>
      </w:pPr>
      <w:r>
        <w:rPr>
          <w:rFonts w:ascii="Calibri" w:cs="Calibri" w:eastAsia="Calibri" w:hAnsi="Calibri"/>
          <w:b/>
          <w:bCs/>
          <w:color w:val="D91F2C"/>
          <w:sz w:val="23"/>
          <w:szCs w:val="23"/>
        </w:rPr>
        <w:t xml:space="preserve">Journey 3  ·  </w:t>
      </w:r>
      <w:r>
        <w:rPr>
          <w:rFonts w:ascii="Calibri" w:cs="Calibri" w:eastAsia="Calibri" w:hAnsi="Calibri"/>
          <w:b/>
          <w:bCs/>
          <w:color w:val="0B2032"/>
          <w:sz w:val="23"/>
          <w:szCs w:val="23"/>
        </w:rPr>
        <w:t xml:space="preserve">Securely identify myself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5C6B7A"/>
          <w:sz w:val="19"/>
          <w:szCs w:val="19"/>
        </w:rPr>
        <w:t xml:space="preserve">Existing Customer · authentication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B2B38"/>
          <w:sz w:val="21"/>
          <w:szCs w:val="21"/>
        </w:rPr>
        <w:t xml:space="preserve">Chooses “Existing customer”.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B2B38"/>
          <w:sz w:val="21"/>
          <w:szCs w:val="21"/>
        </w:rPr>
        <w:t xml:space="preserve">Enters registered mobile number.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B2B38"/>
          <w:sz w:val="21"/>
          <w:szCs w:val="21"/>
        </w:rPr>
        <w:t xml:space="preserve">Receives and enters an OTP to verify.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B2B38"/>
          <w:sz w:val="21"/>
          <w:szCs w:val="21"/>
        </w:rPr>
        <w:t xml:space="preserve">Enters the authenticated experience, greeted by name.</w:t>
      </w:r>
    </w:p>
    <w:p>
      <w:pPr>
        <w:pBdr>
          <w:left w:val="single" w:color="137A43" w:sz="18" w:space="8"/>
        </w:pBdr>
        <w:shd w:fill="EEF2F7" w:color="auto" w:val="clear"/>
        <w:spacing w:after="60" w:before="60"/>
      </w:pPr>
      <w:r>
        <w:rPr>
          <w:rFonts w:ascii="Calibri" w:cs="Calibri" w:eastAsia="Calibri" w:hAnsi="Calibri"/>
          <w:b/>
          <w:bCs/>
          <w:color w:val="137A43"/>
          <w:sz w:val="20"/>
          <w:szCs w:val="20"/>
        </w:rPr>
        <w:t xml:space="preserve">Outcome:  </w:t>
      </w:r>
      <w:r>
        <w:rPr>
          <w:rFonts w:ascii="Calibri" w:cs="Calibri" w:eastAsia="Calibri" w:hAnsi="Calibri"/>
          <w:color w:val="1B2B38"/>
          <w:sz w:val="20"/>
          <w:szCs w:val="20"/>
        </w:rPr>
        <w:t xml:space="preserve">A trusted, gated session before any sensitive action.</w:t>
      </w:r>
    </w:p>
    <w:p>
      <w:pPr>
        <w:spacing w:after="40" w:before="220"/>
      </w:pPr>
      <w:r>
        <w:rPr>
          <w:rFonts w:ascii="Calibri" w:cs="Calibri" w:eastAsia="Calibri" w:hAnsi="Calibri"/>
          <w:b/>
          <w:bCs/>
          <w:color w:val="D91F2C"/>
          <w:sz w:val="23"/>
          <w:szCs w:val="23"/>
        </w:rPr>
        <w:t xml:space="preserve">Journey 4  ·  </w:t>
      </w:r>
      <w:r>
        <w:rPr>
          <w:rFonts w:ascii="Calibri" w:cs="Calibri" w:eastAsia="Calibri" w:hAnsi="Calibri"/>
          <w:b/>
          <w:bCs/>
          <w:color w:val="0B2032"/>
          <w:sz w:val="23"/>
          <w:szCs w:val="23"/>
        </w:rPr>
        <w:t xml:space="preserve">Reset my debit-card PIN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5C6B7A"/>
          <w:sz w:val="19"/>
          <w:szCs w:val="19"/>
        </w:rPr>
        <w:t xml:space="preserve">Existing Customer · card servicing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B2B38"/>
          <w:sz w:val="21"/>
          <w:szCs w:val="21"/>
        </w:rPr>
        <w:t xml:space="preserve">Opens Self-service Banking and picks the debit card (blocked/expired cards are declined).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B2B38"/>
          <w:sz w:val="21"/>
          <w:szCs w:val="21"/>
        </w:rPr>
        <w:t xml:space="preserve">Confirms identity with card expiry and an OTP.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B2B38"/>
          <w:sz w:val="21"/>
          <w:szCs w:val="21"/>
        </w:rPr>
        <w:t xml:space="preserve">Enters a new PIN twice on a secure keypad — never shown in the chat.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B2B38"/>
          <w:sz w:val="21"/>
          <w:szCs w:val="21"/>
        </w:rPr>
        <w:t xml:space="preserve">Receives success with a service reference number.</w:t>
      </w:r>
    </w:p>
    <w:p>
      <w:pPr>
        <w:pBdr>
          <w:left w:val="single" w:color="137A43" w:sz="18" w:space="8"/>
        </w:pBdr>
        <w:shd w:fill="EEF2F7" w:color="auto" w:val="clear"/>
        <w:spacing w:after="60" w:before="60"/>
      </w:pPr>
      <w:r>
        <w:rPr>
          <w:rFonts w:ascii="Calibri" w:cs="Calibri" w:eastAsia="Calibri" w:hAnsi="Calibri"/>
          <w:b/>
          <w:bCs/>
          <w:color w:val="137A43"/>
          <w:sz w:val="20"/>
          <w:szCs w:val="20"/>
        </w:rPr>
        <w:t xml:space="preserve">Outcome:  </w:t>
      </w:r>
      <w:r>
        <w:rPr>
          <w:rFonts w:ascii="Calibri" w:cs="Calibri" w:eastAsia="Calibri" w:hAnsi="Calibri"/>
          <w:color w:val="1B2B38"/>
          <w:sz w:val="20"/>
          <w:szCs w:val="20"/>
        </w:rPr>
        <w:t xml:space="preserve">An ATM/branch trip avoided; a common call-centre driver deflected.</w:t>
      </w:r>
    </w:p>
    <w:p>
      <w:pPr>
        <w:spacing w:after="40" w:before="220"/>
      </w:pPr>
      <w:r>
        <w:rPr>
          <w:rFonts w:ascii="Calibri" w:cs="Calibri" w:eastAsia="Calibri" w:hAnsi="Calibri"/>
          <w:b/>
          <w:bCs/>
          <w:color w:val="D91F2C"/>
          <w:sz w:val="23"/>
          <w:szCs w:val="23"/>
        </w:rPr>
        <w:t xml:space="preserve">Journey 5  ·  </w:t>
      </w:r>
      <w:r>
        <w:rPr>
          <w:rFonts w:ascii="Calibri" w:cs="Calibri" w:eastAsia="Calibri" w:hAnsi="Calibri"/>
          <w:b/>
          <w:bCs/>
          <w:color w:val="0B2032"/>
          <w:sz w:val="23"/>
          <w:szCs w:val="23"/>
        </w:rPr>
        <w:t xml:space="preserve">Add a payee &amp; send money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5C6B7A"/>
          <w:sz w:val="19"/>
          <w:szCs w:val="19"/>
        </w:rPr>
        <w:t xml:space="preserve">Existing Customer · payments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B2B38"/>
          <w:sz w:val="21"/>
          <w:szCs w:val="21"/>
        </w:rPr>
        <w:t xml:space="preserve">Adds a beneficiary: name, account (entered twice), IFSC lookup, and an optional name-match check.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B2B38"/>
          <w:sz w:val="21"/>
          <w:szCs w:val="21"/>
        </w:rPr>
        <w:t xml:space="preserve">Confirms and authorises with OTP; the payee enters a short cooling period.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B2B38"/>
          <w:sz w:val="21"/>
          <w:szCs w:val="21"/>
        </w:rPr>
        <w:t xml:space="preserve">Starts a transfer, picks the payee, enters the amount — balance and limits are checked.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B2B38"/>
          <w:sz w:val="21"/>
          <w:szCs w:val="21"/>
        </w:rPr>
        <w:t xml:space="preserve">Reviews a summary, authorises with OTP, and receives a UTR reference.</w:t>
      </w:r>
    </w:p>
    <w:p>
      <w:pPr>
        <w:pBdr>
          <w:left w:val="single" w:color="137A43" w:sz="18" w:space="8"/>
        </w:pBdr>
        <w:shd w:fill="EEF2F7" w:color="auto" w:val="clear"/>
        <w:spacing w:after="60" w:before="60"/>
      </w:pPr>
      <w:r>
        <w:rPr>
          <w:rFonts w:ascii="Calibri" w:cs="Calibri" w:eastAsia="Calibri" w:hAnsi="Calibri"/>
          <w:b/>
          <w:bCs/>
          <w:color w:val="137A43"/>
          <w:sz w:val="20"/>
          <w:szCs w:val="20"/>
        </w:rPr>
        <w:t xml:space="preserve">Outcome:  </w:t>
      </w:r>
      <w:r>
        <w:rPr>
          <w:rFonts w:ascii="Calibri" w:cs="Calibri" w:eastAsia="Calibri" w:hAnsi="Calibri"/>
          <w:color w:val="1B2B38"/>
          <w:sz w:val="20"/>
          <w:szCs w:val="20"/>
        </w:rPr>
        <w:t xml:space="preserve">Everyday payments completed in chat, with bank-grade safeguards.</w:t>
      </w:r>
    </w:p>
    <w:p>
      <w:pPr>
        <w:spacing w:after="40" w:before="220"/>
      </w:pPr>
      <w:r>
        <w:rPr>
          <w:rFonts w:ascii="Calibri" w:cs="Calibri" w:eastAsia="Calibri" w:hAnsi="Calibri"/>
          <w:b/>
          <w:bCs/>
          <w:color w:val="D91F2C"/>
          <w:sz w:val="23"/>
          <w:szCs w:val="23"/>
        </w:rPr>
        <w:t xml:space="preserve">Journey 6  ·  </w:t>
      </w:r>
      <w:r>
        <w:rPr>
          <w:rFonts w:ascii="Calibri" w:cs="Calibri" w:eastAsia="Calibri" w:hAnsi="Calibri"/>
          <w:b/>
          <w:bCs/>
          <w:color w:val="0B2032"/>
          <w:sz w:val="23"/>
          <w:szCs w:val="23"/>
        </w:rPr>
        <w:t xml:space="preserve">Open a deposit (FD / RD)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5C6B7A"/>
          <w:sz w:val="19"/>
          <w:szCs w:val="19"/>
        </w:rPr>
        <w:t xml:space="preserve">Existing Customer · investments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B2B38"/>
          <w:sz w:val="21"/>
          <w:szCs w:val="21"/>
        </w:rPr>
        <w:t xml:space="preserve">Chooses Fixed or Recurring Deposit and a source account.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B2B38"/>
          <w:sz w:val="21"/>
          <w:szCs w:val="21"/>
        </w:rPr>
        <w:t xml:space="preserve">Views live rates (senior-citizen rate applied automatically) and picks a tenure.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B2B38"/>
          <w:sz w:val="21"/>
          <w:szCs w:val="21"/>
        </w:rPr>
        <w:t xml:space="preserve">Sees a maturity preview with amount, date and TDS/penalty disclosures.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B2B38"/>
          <w:sz w:val="21"/>
          <w:szCs w:val="21"/>
        </w:rPr>
        <w:t xml:space="preserve">Confirms with OTP and receives the new deposit account number and advice.</w:t>
      </w:r>
    </w:p>
    <w:p>
      <w:pPr>
        <w:pBdr>
          <w:left w:val="single" w:color="137A43" w:sz="18" w:space="8"/>
        </w:pBdr>
        <w:shd w:fill="EEF2F7" w:color="auto" w:val="clear"/>
        <w:spacing w:after="60" w:before="60"/>
      </w:pPr>
      <w:r>
        <w:rPr>
          <w:rFonts w:ascii="Calibri" w:cs="Calibri" w:eastAsia="Calibri" w:hAnsi="Calibri"/>
          <w:b/>
          <w:bCs/>
          <w:color w:val="137A43"/>
          <w:sz w:val="20"/>
          <w:szCs w:val="20"/>
        </w:rPr>
        <w:t xml:space="preserve">Outcome:  </w:t>
      </w:r>
      <w:r>
        <w:rPr>
          <w:rFonts w:ascii="Calibri" w:cs="Calibri" w:eastAsia="Calibri" w:hAnsi="Calibri"/>
          <w:color w:val="1B2B38"/>
          <w:sz w:val="20"/>
          <w:szCs w:val="20"/>
        </w:rPr>
        <w:t xml:space="preserve">Surplus funds invested instantly — new balances, deepened relationship.</w:t>
      </w:r>
    </w:p>
    <w:p>
      <w:pPr>
        <w:spacing w:after="40" w:before="220"/>
      </w:pPr>
      <w:r>
        <w:rPr>
          <w:rFonts w:ascii="Calibri" w:cs="Calibri" w:eastAsia="Calibri" w:hAnsi="Calibri"/>
          <w:b/>
          <w:bCs/>
          <w:color w:val="D91F2C"/>
          <w:sz w:val="23"/>
          <w:szCs w:val="23"/>
        </w:rPr>
        <w:t xml:space="preserve">Journey 7  ·  </w:t>
      </w:r>
      <w:r>
        <w:rPr>
          <w:rFonts w:ascii="Calibri" w:cs="Calibri" w:eastAsia="Calibri" w:hAnsi="Calibri"/>
          <w:b/>
          <w:bCs/>
          <w:color w:val="0B2032"/>
          <w:sz w:val="23"/>
          <w:szCs w:val="23"/>
        </w:rPr>
        <w:t xml:space="preserve">Reach a human when needed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5C6B7A"/>
          <w:sz w:val="19"/>
          <w:szCs w:val="19"/>
        </w:rPr>
        <w:t xml:space="preserve">Either persona · escalation &amp; feedback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B2B38"/>
          <w:sz w:val="21"/>
          <w:szCs w:val="21"/>
        </w:rPr>
        <w:t xml:space="preserve">Rates replies with a thumbs up/down as the conversation goes.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B2B38"/>
          <w:sz w:val="21"/>
          <w:szCs w:val="21"/>
        </w:rPr>
        <w:t xml:space="preserve">If the assistant senses it isn't helping, it proactively offers a representative.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B2B38"/>
          <w:sz w:val="21"/>
          <w:szCs w:val="21"/>
        </w:rPr>
        <w:t xml:space="preserve">Customer chooses to connect; the 24×7 helpline is surfaced.</w:t>
      </w:r>
    </w:p>
    <w:p>
      <w:pPr>
        <w:pBdr>
          <w:left w:val="single" w:color="137A43" w:sz="18" w:space="8"/>
        </w:pBdr>
        <w:shd w:fill="EEF2F7" w:color="auto" w:val="clear"/>
        <w:spacing w:after="60" w:before="60"/>
      </w:pPr>
      <w:r>
        <w:rPr>
          <w:rFonts w:ascii="Calibri" w:cs="Calibri" w:eastAsia="Calibri" w:hAnsi="Calibri"/>
          <w:b/>
          <w:bCs/>
          <w:color w:val="137A43"/>
          <w:sz w:val="20"/>
          <w:szCs w:val="20"/>
        </w:rPr>
        <w:t xml:space="preserve">Outcome:  </w:t>
      </w:r>
      <w:r>
        <w:rPr>
          <w:rFonts w:ascii="Calibri" w:cs="Calibri" w:eastAsia="Calibri" w:hAnsi="Calibri"/>
          <w:color w:val="1B2B38"/>
          <w:sz w:val="20"/>
          <w:szCs w:val="20"/>
        </w:rPr>
        <w:t xml:space="preserve">No dead ends — a graceful hand-off protects the experience.</w:t>
      </w:r>
    </w:p>
    <w:p>
      <w:r>
        <w:br w:type="page"/>
      </w:r>
    </w:p>
    <w:p>
      <w:pPr>
        <w:spacing w:after="20" w:before="260"/>
      </w:pPr>
      <w:r>
        <w:rPr>
          <w:rFonts w:ascii="Calibri" w:cs="Calibri" w:eastAsia="Calibri" w:hAnsi="Calibri"/>
          <w:b/>
          <w:bCs/>
          <w:color w:val="D91F2C"/>
          <w:sz w:val="17"/>
          <w:szCs w:val="17"/>
        </w:rPr>
        <w:t xml:space="preserve">THE FULL PICTURE</w:t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0B2032"/>
          <w:sz w:val="30"/>
          <w:szCs w:val="30"/>
        </w:rPr>
        <w:t xml:space="preserve">Use-case catalogue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5C6B7A"/>
          <w:sz w:val="20"/>
          <w:szCs w:val="20"/>
        </w:rPr>
        <w:t xml:space="preserve">Everything the assistant delivers today, grouped by area.</w:t>
      </w:r>
    </w:p>
    <w:tbl>
      <w:tblPr>
        <w:tblW w:type="dxa" w:w="9360"/>
        <w:tblBorders>
          <w:top w:val="single" w:color="D9E1EA" w:sz="4"/>
          <w:left w:val="single" w:color="D9E1EA" w:sz="4"/>
          <w:bottom w:val="single" w:color="D9E1EA" w:sz="4"/>
          <w:right w:val="single" w:color="D9E1EA" w:sz="4"/>
          <w:insideH w:val="single" w:color="D9E1EA" w:sz="4"/>
          <w:insideV w:val="single" w:color="D9E1EA" w:sz="4"/>
        </w:tblBorders>
      </w:tblPr>
      <w:tblGrid>
        <w:gridCol w:w="4360"/>
        <w:gridCol w:w="2000"/>
        <w:gridCol w:w="3000"/>
      </w:tblGrid>
      <w:tr>
        <w:trPr>
          <w:tblHeader/>
        </w:trPr>
        <w:tc>
          <w:tcPr>
            <w:tcW w:type="dxa" w:w="4360"/>
            <w:shd w:fill="0B203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Use case</w:t>
            </w:r>
          </w:p>
        </w:tc>
        <w:tc>
          <w:tcPr>
            <w:tcW w:type="dxa" w:w="2000"/>
            <w:shd w:fill="0B203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Who</w:t>
            </w:r>
          </w:p>
        </w:tc>
        <w:tc>
          <w:tcPr>
            <w:tcW w:type="dxa" w:w="3000"/>
            <w:shd w:fill="0B203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Value to the bank</w:t>
            </w:r>
          </w:p>
        </w:tc>
      </w:tr>
      <w:tr>
        <w:tc>
          <w:tcPr>
            <w:gridSpan w:val="3"/>
            <w:shd w:fill="0B203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WEBSITE &amp; ENGAGEMENT</w:t>
            </w:r>
          </w:p>
        </w:tc>
      </w:tr>
      <w:tr>
        <w:tc>
          <w:tcPr>
            <w:tcW w:type="dxa" w:w="43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B38"/>
                <w:sz w:val="19"/>
                <w:szCs w:val="19"/>
              </w:rPr>
              <w:t xml:space="preserve">Browse products, rates &amp; offers</w:t>
            </w:r>
          </w:p>
        </w:tc>
        <w:tc>
          <w:tcPr>
            <w:tcW w:type="dxa" w:w="2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B38"/>
                <w:sz w:val="19"/>
                <w:szCs w:val="19"/>
              </w:rPr>
              <w:t xml:space="preserve">Visitor</w:t>
            </w:r>
          </w:p>
        </w:tc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B38"/>
                <w:sz w:val="19"/>
                <w:szCs w:val="19"/>
              </w:rPr>
              <w:t xml:space="preserve">Discovery &amp; brand</w:t>
            </w:r>
          </w:p>
        </w:tc>
      </w:tr>
      <w:tr>
        <w:tc>
          <w:tcPr>
            <w:tcW w:type="dxa" w:w="43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B38"/>
                <w:sz w:val="19"/>
                <w:szCs w:val="19"/>
              </w:rPr>
              <w:t xml:space="preserve">Launch assistant; adjust text size</w:t>
            </w:r>
          </w:p>
        </w:tc>
        <w:tc>
          <w:tcPr>
            <w:tcW w:type="dxa" w:w="2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B38"/>
                <w:sz w:val="19"/>
                <w:szCs w:val="19"/>
              </w:rPr>
              <w:t xml:space="preserve">Visitor</w:t>
            </w:r>
          </w:p>
        </w:tc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B38"/>
                <w:sz w:val="19"/>
                <w:szCs w:val="19"/>
              </w:rPr>
              <w:t xml:space="preserve">Accessibility</w:t>
            </w:r>
          </w:p>
        </w:tc>
      </w:tr>
      <w:tr>
        <w:tc>
          <w:tcPr>
            <w:tcW w:type="dxa" w:w="43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B38"/>
                <w:sz w:val="19"/>
                <w:szCs w:val="19"/>
              </w:rPr>
              <w:t xml:space="preserve">Choose language before chatting</w:t>
            </w:r>
          </w:p>
        </w:tc>
        <w:tc>
          <w:tcPr>
            <w:tcW w:type="dxa" w:w="2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B38"/>
                <w:sz w:val="19"/>
                <w:szCs w:val="19"/>
              </w:rPr>
              <w:t xml:space="preserve">Both</w:t>
            </w:r>
          </w:p>
        </w:tc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B38"/>
                <w:sz w:val="19"/>
                <w:szCs w:val="19"/>
              </w:rPr>
              <w:t xml:space="preserve">Inclusion</w:t>
            </w:r>
          </w:p>
        </w:tc>
      </w:tr>
      <w:tr>
        <w:tc>
          <w:tcPr>
            <w:gridSpan w:val="3"/>
            <w:shd w:fill="0B203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CONVERSATIONAL ASSISTANCE</w:t>
            </w:r>
          </w:p>
        </w:tc>
      </w:tr>
      <w:tr>
        <w:tc>
          <w:tcPr>
            <w:tcW w:type="dxa" w:w="43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B38"/>
                <w:sz w:val="19"/>
                <w:szCs w:val="19"/>
              </w:rPr>
              <w:t xml:space="preserve">Ask product / rate / policy questions (grounded)</w:t>
            </w:r>
          </w:p>
        </w:tc>
        <w:tc>
          <w:tcPr>
            <w:tcW w:type="dxa" w:w="2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B38"/>
                <w:sz w:val="19"/>
                <w:szCs w:val="19"/>
              </w:rPr>
              <w:t xml:space="preserve">Both</w:t>
            </w:r>
          </w:p>
        </w:tc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B38"/>
                <w:sz w:val="19"/>
                <w:szCs w:val="19"/>
              </w:rPr>
              <w:t xml:space="preserve">Call deflection</w:t>
            </w:r>
          </w:p>
        </w:tc>
      </w:tr>
      <w:tr>
        <w:tc>
          <w:tcPr>
            <w:tcW w:type="dxa" w:w="43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B38"/>
                <w:sz w:val="19"/>
                <w:szCs w:val="19"/>
              </w:rPr>
              <w:t xml:space="preserve">Compare products as a table</w:t>
            </w:r>
          </w:p>
        </w:tc>
        <w:tc>
          <w:tcPr>
            <w:tcW w:type="dxa" w:w="2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B38"/>
                <w:sz w:val="19"/>
                <w:szCs w:val="19"/>
              </w:rPr>
              <w:t xml:space="preserve">Both</w:t>
            </w:r>
          </w:p>
        </w:tc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B38"/>
                <w:sz w:val="19"/>
                <w:szCs w:val="19"/>
              </w:rPr>
              <w:t xml:space="preserve">Conversion</w:t>
            </w:r>
          </w:p>
        </w:tc>
      </w:tr>
      <w:tr>
        <w:tc>
          <w:tcPr>
            <w:tcW w:type="dxa" w:w="43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B38"/>
                <w:sz w:val="19"/>
                <w:szCs w:val="19"/>
              </w:rPr>
              <w:t xml:space="preserve">Branch / IFSC / helpline guidance</w:t>
            </w:r>
          </w:p>
        </w:tc>
        <w:tc>
          <w:tcPr>
            <w:tcW w:type="dxa" w:w="2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B38"/>
                <w:sz w:val="19"/>
                <w:szCs w:val="19"/>
              </w:rPr>
              <w:t xml:space="preserve">Both</w:t>
            </w:r>
          </w:p>
        </w:tc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B38"/>
                <w:sz w:val="19"/>
                <w:szCs w:val="19"/>
              </w:rPr>
              <w:t xml:space="preserve">Self-service</w:t>
            </w:r>
          </w:p>
        </w:tc>
      </w:tr>
      <w:tr>
        <w:tc>
          <w:tcPr>
            <w:tcW w:type="dxa" w:w="43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B38"/>
                <w:sz w:val="19"/>
                <w:szCs w:val="19"/>
              </w:rPr>
              <w:t xml:space="preserve">Capture a product lead</w:t>
            </w:r>
          </w:p>
        </w:tc>
        <w:tc>
          <w:tcPr>
            <w:tcW w:type="dxa" w:w="2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B38"/>
                <w:sz w:val="19"/>
                <w:szCs w:val="19"/>
              </w:rPr>
              <w:t xml:space="preserve">Visitor</w:t>
            </w:r>
          </w:p>
        </w:tc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B38"/>
                <w:sz w:val="19"/>
                <w:szCs w:val="19"/>
              </w:rPr>
              <w:t xml:space="preserve">Acquisition</w:t>
            </w:r>
          </w:p>
        </w:tc>
      </w:tr>
      <w:tr>
        <w:tc>
          <w:tcPr>
            <w:tcW w:type="dxa" w:w="43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B38"/>
                <w:sz w:val="19"/>
                <w:szCs w:val="19"/>
              </w:rPr>
              <w:t xml:space="preserve">Raise a complaint &amp; get a ticket</w:t>
            </w:r>
          </w:p>
        </w:tc>
        <w:tc>
          <w:tcPr>
            <w:tcW w:type="dxa" w:w="2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B38"/>
                <w:sz w:val="19"/>
                <w:szCs w:val="19"/>
              </w:rPr>
              <w:t xml:space="preserve">Both</w:t>
            </w:r>
          </w:p>
        </w:tc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B38"/>
                <w:sz w:val="19"/>
                <w:szCs w:val="19"/>
              </w:rPr>
              <w:t xml:space="preserve">Grievance handling</w:t>
            </w:r>
          </w:p>
        </w:tc>
      </w:tr>
      <w:tr>
        <w:tc>
          <w:tcPr>
            <w:tcW w:type="dxa" w:w="43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B38"/>
                <w:sz w:val="19"/>
                <w:szCs w:val="19"/>
              </w:rPr>
              <w:t xml:space="preserve">Converse in 5 languages · voice in &amp; out</w:t>
            </w:r>
          </w:p>
        </w:tc>
        <w:tc>
          <w:tcPr>
            <w:tcW w:type="dxa" w:w="2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B38"/>
                <w:sz w:val="19"/>
                <w:szCs w:val="19"/>
              </w:rPr>
              <w:t xml:space="preserve">Both</w:t>
            </w:r>
          </w:p>
        </w:tc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B38"/>
                <w:sz w:val="19"/>
                <w:szCs w:val="19"/>
              </w:rPr>
              <w:t xml:space="preserve">Reach &amp; CX</w:t>
            </w:r>
          </w:p>
        </w:tc>
      </w:tr>
      <w:tr>
        <w:tc>
          <w:tcPr>
            <w:tcW w:type="dxa" w:w="43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B38"/>
                <w:sz w:val="19"/>
                <w:szCs w:val="19"/>
              </w:rPr>
              <w:t xml:space="preserve">Rate answers; escalate to a human</w:t>
            </w:r>
          </w:p>
        </w:tc>
        <w:tc>
          <w:tcPr>
            <w:tcW w:type="dxa" w:w="2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B38"/>
                <w:sz w:val="19"/>
                <w:szCs w:val="19"/>
              </w:rPr>
              <w:t xml:space="preserve">Both</w:t>
            </w:r>
          </w:p>
        </w:tc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B38"/>
                <w:sz w:val="19"/>
                <w:szCs w:val="19"/>
              </w:rPr>
              <w:t xml:space="preserve">Quality &amp; safety-net</w:t>
            </w:r>
          </w:p>
        </w:tc>
      </w:tr>
      <w:tr>
        <w:tc>
          <w:tcPr>
            <w:gridSpan w:val="3"/>
            <w:shd w:fill="0B203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IDENTITY &amp; ACCOUNT SERVICING</w:t>
            </w:r>
          </w:p>
        </w:tc>
      </w:tr>
      <w:tr>
        <w:tc>
          <w:tcPr>
            <w:tcW w:type="dxa" w:w="43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B38"/>
                <w:sz w:val="19"/>
                <w:szCs w:val="19"/>
              </w:rPr>
              <w:t xml:space="preserve">Verify via mobile + OTP; step-up OTP per action</w:t>
            </w:r>
          </w:p>
        </w:tc>
        <w:tc>
          <w:tcPr>
            <w:tcW w:type="dxa" w:w="2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B38"/>
                <w:sz w:val="19"/>
                <w:szCs w:val="19"/>
              </w:rPr>
              <w:t xml:space="preserve">Customer</w:t>
            </w:r>
          </w:p>
        </w:tc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B38"/>
                <w:sz w:val="19"/>
                <w:szCs w:val="19"/>
              </w:rPr>
              <w:t xml:space="preserve">Security</w:t>
            </w:r>
          </w:p>
        </w:tc>
      </w:tr>
      <w:tr>
        <w:tc>
          <w:tcPr>
            <w:tcW w:type="dxa" w:w="43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B38"/>
                <w:sz w:val="19"/>
                <w:szCs w:val="19"/>
              </w:rPr>
              <w:t xml:space="preserve">Check balance · recent transactions</w:t>
            </w:r>
          </w:p>
        </w:tc>
        <w:tc>
          <w:tcPr>
            <w:tcW w:type="dxa" w:w="2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B38"/>
                <w:sz w:val="19"/>
                <w:szCs w:val="19"/>
              </w:rPr>
              <w:t xml:space="preserve">Customer</w:t>
            </w:r>
          </w:p>
        </w:tc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B38"/>
                <w:sz w:val="19"/>
                <w:szCs w:val="19"/>
              </w:rPr>
              <w:t xml:space="preserve">Self-service</w:t>
            </w:r>
          </w:p>
        </w:tc>
      </w:tr>
      <w:tr>
        <w:tc>
          <w:tcPr>
            <w:tcW w:type="dxa" w:w="43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B38"/>
                <w:sz w:val="19"/>
                <w:szCs w:val="19"/>
              </w:rPr>
              <w:t xml:space="preserve">Check active loans · block a debit card</w:t>
            </w:r>
          </w:p>
        </w:tc>
        <w:tc>
          <w:tcPr>
            <w:tcW w:type="dxa" w:w="2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B38"/>
                <w:sz w:val="19"/>
                <w:szCs w:val="19"/>
              </w:rPr>
              <w:t xml:space="preserve">Customer</w:t>
            </w:r>
          </w:p>
        </w:tc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B38"/>
                <w:sz w:val="19"/>
                <w:szCs w:val="19"/>
              </w:rPr>
              <w:t xml:space="preserve">Servicing</w:t>
            </w:r>
          </w:p>
        </w:tc>
      </w:tr>
      <w:tr>
        <w:tc>
          <w:tcPr>
            <w:gridSpan w:val="3"/>
            <w:shd w:fill="0B203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SELF-SERVICE BANKING (GUIDED &amp; SECURE)</w:t>
            </w:r>
          </w:p>
        </w:tc>
      </w:tr>
      <w:tr>
        <w:tc>
          <w:tcPr>
            <w:tcW w:type="dxa" w:w="43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B38"/>
                <w:sz w:val="19"/>
                <w:szCs w:val="19"/>
              </w:rPr>
              <w:t xml:space="preserve">Set / reset debit-card PIN</w:t>
            </w:r>
          </w:p>
        </w:tc>
        <w:tc>
          <w:tcPr>
            <w:tcW w:type="dxa" w:w="2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B38"/>
                <w:sz w:val="19"/>
                <w:szCs w:val="19"/>
              </w:rPr>
              <w:t xml:space="preserve">Customer</w:t>
            </w:r>
          </w:p>
        </w:tc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B38"/>
                <w:sz w:val="19"/>
                <w:szCs w:val="19"/>
              </w:rPr>
              <w:t xml:space="preserve">Branch/ATM deflection</w:t>
            </w:r>
          </w:p>
        </w:tc>
      </w:tr>
      <w:tr>
        <w:tc>
          <w:tcPr>
            <w:tcW w:type="dxa" w:w="43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B38"/>
                <w:sz w:val="19"/>
                <w:szCs w:val="19"/>
              </w:rPr>
              <w:t xml:space="preserve">View / add / modify nominee</w:t>
            </w:r>
          </w:p>
        </w:tc>
        <w:tc>
          <w:tcPr>
            <w:tcW w:type="dxa" w:w="2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B38"/>
                <w:sz w:val="19"/>
                <w:szCs w:val="19"/>
              </w:rPr>
              <w:t xml:space="preserve">Customer</w:t>
            </w:r>
          </w:p>
        </w:tc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B38"/>
                <w:sz w:val="19"/>
                <w:szCs w:val="19"/>
              </w:rPr>
              <w:t xml:space="preserve">Compliance CX</w:t>
            </w:r>
          </w:p>
        </w:tc>
      </w:tr>
      <w:tr>
        <w:tc>
          <w:tcPr>
            <w:tcW w:type="dxa" w:w="43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B38"/>
                <w:sz w:val="19"/>
                <w:szCs w:val="19"/>
              </w:rPr>
              <w:t xml:space="preserve">Add / edit / delete beneficiaries</w:t>
            </w:r>
          </w:p>
        </w:tc>
        <w:tc>
          <w:tcPr>
            <w:tcW w:type="dxa" w:w="2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B38"/>
                <w:sz w:val="19"/>
                <w:szCs w:val="19"/>
              </w:rPr>
              <w:t xml:space="preserve">Customer</w:t>
            </w:r>
          </w:p>
        </w:tc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B38"/>
                <w:sz w:val="19"/>
                <w:szCs w:val="19"/>
              </w:rPr>
              <w:t xml:space="preserve">Enables payments</w:t>
            </w:r>
          </w:p>
        </w:tc>
      </w:tr>
      <w:tr>
        <w:tc>
          <w:tcPr>
            <w:tcW w:type="dxa" w:w="43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B38"/>
                <w:sz w:val="19"/>
                <w:szCs w:val="19"/>
              </w:rPr>
              <w:t xml:space="preserve">Transfer funds (own / payees)</w:t>
            </w:r>
          </w:p>
        </w:tc>
        <w:tc>
          <w:tcPr>
            <w:tcW w:type="dxa" w:w="2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B38"/>
                <w:sz w:val="19"/>
                <w:szCs w:val="19"/>
              </w:rPr>
              <w:t xml:space="preserve">Customer</w:t>
            </w:r>
          </w:p>
        </w:tc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B38"/>
                <w:sz w:val="19"/>
                <w:szCs w:val="19"/>
              </w:rPr>
              <w:t xml:space="preserve">Digital adoption</w:t>
            </w:r>
          </w:p>
        </w:tc>
      </w:tr>
      <w:tr>
        <w:tc>
          <w:tcPr>
            <w:tcW w:type="dxa" w:w="43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B38"/>
                <w:sz w:val="19"/>
                <w:szCs w:val="19"/>
              </w:rPr>
              <w:t xml:space="preserve">Open Fixed / Recurring Deposit</w:t>
            </w:r>
          </w:p>
        </w:tc>
        <w:tc>
          <w:tcPr>
            <w:tcW w:type="dxa" w:w="2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B38"/>
                <w:sz w:val="19"/>
                <w:szCs w:val="19"/>
              </w:rPr>
              <w:t xml:space="preserve">Customer</w:t>
            </w:r>
          </w:p>
        </w:tc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B38"/>
                <w:sz w:val="19"/>
                <w:szCs w:val="19"/>
              </w:rPr>
              <w:t xml:space="preserve">Balance growth</w:t>
            </w:r>
          </w:p>
        </w:tc>
      </w:tr>
      <w:tr>
        <w:tc>
          <w:tcPr>
            <w:gridSpan w:val="3"/>
            <w:shd w:fill="0B203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BUILT-IN SAFEGUARDS</w:t>
            </w:r>
          </w:p>
        </w:tc>
      </w:tr>
      <w:tr>
        <w:tc>
          <w:tcPr>
            <w:tcW w:type="dxa" w:w="43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B38"/>
                <w:sz w:val="19"/>
                <w:szCs w:val="19"/>
              </w:rPr>
              <w:t xml:space="preserve">Data masking · OTP lockout · idempotency</w:t>
            </w:r>
          </w:p>
        </w:tc>
        <w:tc>
          <w:tcPr>
            <w:tcW w:type="dxa" w:w="2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B38"/>
                <w:sz w:val="19"/>
                <w:szCs w:val="19"/>
              </w:rPr>
              <w:t xml:space="preserve">System</w:t>
            </w:r>
          </w:p>
        </w:tc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B38"/>
                <w:sz w:val="19"/>
                <w:szCs w:val="19"/>
              </w:rPr>
              <w:t xml:space="preserve">Trust &amp; risk</w:t>
            </w:r>
          </w:p>
        </w:tc>
      </w:tr>
      <w:tr>
        <w:tc>
          <w:tcPr>
            <w:tcW w:type="dxa" w:w="43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B38"/>
                <w:sz w:val="19"/>
                <w:szCs w:val="19"/>
              </w:rPr>
              <w:t xml:space="preserve">Cooling periods · channel limits · reference numbers</w:t>
            </w:r>
          </w:p>
        </w:tc>
        <w:tc>
          <w:tcPr>
            <w:tcW w:type="dxa" w:w="2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B38"/>
                <w:sz w:val="19"/>
                <w:szCs w:val="19"/>
              </w:rPr>
              <w:t xml:space="preserve">System</w:t>
            </w:r>
          </w:p>
        </w:tc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B38"/>
                <w:sz w:val="19"/>
                <w:szCs w:val="19"/>
              </w:rPr>
              <w:t xml:space="preserve">Compliance &amp; audit</w:t>
            </w:r>
          </w:p>
        </w:tc>
      </w:tr>
    </w:tbl>
    <w:p>
      <w:pPr>
        <w:spacing w:after="20" w:before="260"/>
      </w:pPr>
      <w:r>
        <w:rPr>
          <w:rFonts w:ascii="Calibri" w:cs="Calibri" w:eastAsia="Calibri" w:hAnsi="Calibri"/>
          <w:b/>
          <w:bCs/>
          <w:color w:val="D91F2C"/>
          <w:sz w:val="17"/>
          <w:szCs w:val="17"/>
        </w:rPr>
        <w:t xml:space="preserve">GOOD TO KNOW</w:t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0B2032"/>
          <w:sz w:val="30"/>
          <w:szCs w:val="30"/>
        </w:rPr>
        <w:t xml:space="preserve">Framing for the client</w:t>
      </w:r>
    </w:p>
    <w:p>
      <w:pPr>
        <w:spacing w:after="120"/>
      </w:pPr>
      <w:r>
        <w:rPr>
          <w:rFonts w:ascii="Calibri" w:cs="Calibri" w:eastAsia="Calibri" w:hAnsi="Calibri"/>
          <w:color w:val="1B2B38"/>
          <w:sz w:val="21"/>
          <w:szCs w:val="21"/>
        </w:rPr>
        <w:t xml:space="preserve">Where it stands: the assistant, multilingual voice, and all seven journeys are live and demonstrable today. The account-servicing and self-service journeys run against a demo core-banking layer, ready to connect to the bank's live systems during productionisation.</w:t>
      </w:r>
    </w:p>
    <w:p>
      <w:pPr>
        <w:pBdr>
          <w:left w:val="single" w:color="D91F2C" w:sz="18" w:space="8"/>
        </w:pBdr>
        <w:shd w:fill="EEF2F7" w:color="auto" w:val="clear"/>
        <w:spacing w:before="60"/>
      </w:pPr>
      <w:r>
        <w:rPr>
          <w:rFonts w:ascii="Calibri" w:cs="Calibri" w:eastAsia="Calibri" w:hAnsi="Calibri"/>
          <w:b/>
          <w:bCs/>
          <w:color w:val="0B2032"/>
          <w:sz w:val="20"/>
          <w:szCs w:val="20"/>
        </w:rPr>
        <w:t xml:space="preserve">Please note: </w:t>
      </w:r>
      <w:r>
        <w:rPr>
          <w:rFonts w:ascii="Calibri" w:cs="Calibri" w:eastAsia="Calibri" w:hAnsi="Calibri"/>
          <w:color w:val="1B2B38"/>
          <w:sz w:val="20"/>
          <w:szCs w:val="20"/>
        </w:rPr>
        <w:t xml:space="preserve">This is a working proof-of-concept. Rates, figures and the demo customer are illustrative; the security controls shown reflect the design intent and are finalised with the bank's compliance and engineering teams. Not in v1: new-account opening, ad-hoc transfers to unregistered accounts, UPI / bill-pay, and credit-card servicing.</w:t>
      </w:r>
    </w:p>
    <w:sectPr>
      <w:pgSz w:w="12240" w:h="15840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300"/>
      </w:pPr>
      <w:rPr>
        <w:b/>
        <w:bCs/>
        <w:color w:val="D91F2C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871df2c1907cc7baae106c8ef559f9181306f49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Bandhan Sahayak — User Journeys &amp; Use Cases</dc:title>
  <dc:creator>Applied Cloud Computing</dc:creator>
  <cp:lastModifiedBy>Un-named</cp:lastModifiedBy>
  <cp:revision>1</cp:revision>
  <dcterms:created xsi:type="dcterms:W3CDTF">2026-07-20T07:33:57.775Z</dcterms:created>
  <dcterms:modified xsi:type="dcterms:W3CDTF">2026-07-20T07:33:57.775Z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