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Georgia" w:cs="Georgia" w:eastAsia="Georgia" w:hAnsi="Georgia"/>
          <w:b w:val="1"/>
          <w:sz w:val="24"/>
          <w:szCs w:val="24"/>
          <w:u w:val="single"/>
        </w:rPr>
      </w:pPr>
      <w:bookmarkStart w:colFirst="0" w:colLast="0" w:name="_heading=h.3fwokq0" w:id="0"/>
      <w:bookmarkEnd w:id="0"/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Requerimientos No Funcionales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Siendo los requerimientos no funcionales todas las especificaciones que se tienen en cuenta a la hora de la implementación, la siguiente tabla enuncia los requerimientos no funcionales identificados para el caso analizado.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0"/>
        <w:gridCol w:w="5145"/>
        <w:gridCol w:w="1995"/>
        <w:tblGridChange w:id="0">
          <w:tblGrid>
            <w:gridCol w:w="1875"/>
            <w:gridCol w:w="810"/>
            <w:gridCol w:w="5145"/>
            <w:gridCol w:w="1995"/>
          </w:tblGrid>
        </w:tblGridChange>
      </w:tblGrid>
      <w:tr>
        <w:trPr>
          <w:cantSplit w:val="0"/>
          <w:trHeight w:val="1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Nombre 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Simplicidad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software será sencillo y de fácil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Optimización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Cuando se solicite algún tipo de informe el tiempo de respuesta debe ser menor a 5 seg.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Tiempo de 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Para acceder al sistema de la VTV, el personal deberá loguearse con usuario y contraseña.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Los supervisores se loguean mediante huella 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Lógica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sistema contará con una interfaz, que permitirá al  inspector visualizar los resultados de la revisión de la VTV  y registrar la finalización de la revisión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sistema debe permitir que múltiples usuarios puedan utilizarlo en simultáneo.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sistema debe realizar backup mensuales y serán guardados en servidores separados de los que contienen el sistema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Los cajeros deben poder funcionar al mismo tiempo. Además el uso de una caja no ha de bloquear las funcionalidades de otras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Simplicidad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Manual de usuario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supervisor  debe contar con una impresora fiscal para emitir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Utilización de recursos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sistema tendrá una fecha de presentación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tiempo de respuesta a problemas será el siguiente: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Dificultad Leve : 30 min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Dificultad Media: 2 hs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Dificultad Alta: 24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Tiempo de 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Las bases de Datos será de tipo 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Los informes deberán ser emitidos en formato pdf o excel.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Interoperatividad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 tiene en cuenta las normas legales, manual de criterio de calificación proveniente de entes reguladores.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Legal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sistema será compatible sistemas operativos linux y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Portabilidad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Maggi. – Mansilla. – Pereyra Argüello. – Petry. – Roldán. – Urzagaste. – Zandrino.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spacing w:line="240" w:lineRule="auto"/>
      <w:rPr/>
    </w:pPr>
    <w:r w:rsidDel="00000000" w:rsidR="00000000" w:rsidRPr="00000000">
      <w:rPr>
        <w:b w:val="1"/>
        <w:sz w:val="24"/>
        <w:szCs w:val="24"/>
        <w:rtl w:val="0"/>
      </w:rPr>
      <w:t xml:space="preserve">  </w:t>
    </w:r>
    <w:r w:rsidDel="00000000" w:rsidR="00000000" w:rsidRPr="00000000">
      <w:rPr>
        <w:b w:val="1"/>
        <w:sz w:val="24"/>
        <w:szCs w:val="24"/>
      </w:rPr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209550</wp:posOffset>
          </wp:positionH>
          <wp:positionV relativeFrom="page">
            <wp:posOffset>104775</wp:posOffset>
          </wp:positionV>
          <wp:extent cx="704850" cy="721834"/>
          <wp:effectExtent b="0" l="0" r="0" t="0"/>
          <wp:wrapSquare wrapText="bothSides" distB="57150" distT="57150" distL="57150" distR="5715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" cy="7218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Universidad Tecnológica Nacional Facultad Regional de Villa María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06.0" w:type="dxa"/>
        <w:bottom w:w="0.0" w:type="dxa"/>
        <w:right w:w="7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FTfjJ+uxAoYK0Pc3PzVq6/cDFg==">CgMxLjAyCWguM2Z3b2txMDgAciExRjhIdW1WX1dvbzZoelEwOFdxcFI3d2txZ2Yta2Vnd3k=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