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Plantilla para Descripción de Use Cases  (Trazo Intermedio)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95"/>
        <w:gridCol w:w="2085"/>
        <w:gridCol w:w="570"/>
        <w:gridCol w:w="3075"/>
        <w:gridCol w:w="105"/>
        <w:tblGridChange w:id="0">
          <w:tblGrid>
            <w:gridCol w:w="4395"/>
            <w:gridCol w:w="2085"/>
            <w:gridCol w:w="570"/>
            <w:gridCol w:w="3075"/>
            <w:gridCol w:w="105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Paquete: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5" w:hRule="atLeast"/>
          <w:tblHeader w:val="0"/>
        </w:trPr>
        <w:tc>
          <w:tcPr>
            <w:gridSpan w:val="3"/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Consu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ltar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6</w:t>
            </w:r>
          </w:p>
        </w:tc>
      </w:tr>
      <w:tr>
        <w:trPr>
          <w:cantSplit w:val="1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Actor Principal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Encargado de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Actor Secundario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Tipo de Use Case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            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 Concreto                                     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  Abstracto</w:t>
            </w:r>
          </w:p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Brindar información sobre los vehículos registrados en la VTV, indicando los datos como la patente, chasis, cilindrada, cantidad de ejes, y datos de revisiones anteriores si es que existen.</w:t>
            </w:r>
          </w:p>
          <w:p w:rsidR="00000000" w:rsidDel="00000000" w:rsidP="00000000" w:rsidRDefault="00000000" w:rsidRPr="00000000" w14:paraId="0000001A">
            <w:pPr>
              <w:jc w:val="left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caso de uso se inicia cuando el Encargado de Recepción desea consultar la información de uno o varios vehículos registrados y selecciona la opción “Consultar Vehículo”.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solicita se ingrese la patente de un v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ehículo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que se desea consultar sus datos.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Encargado de Recepción ingresa el número de patente del vehículo a consultar.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busca y encuentra el vehículo y su cliente asociado.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muestra por pantalla los datos del vehículo (Patente, N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de Chasis, Marca, Modelo, Año de Fabricación, Tipo de Vehículo y Tipo de Combustible) y los datos del Titular (Nombre, Apellido, Tipo DNI, DNI, Domicili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espera que el usuario seleccione la opción de cerrar ventana.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Fin de Caso de Uso.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Flujos Alternativos: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 (Paso 1) El encargado de recepción no desea ingresar la patente de un vehículo en particular.</w:t>
            </w:r>
          </w:p>
          <w:p w:rsidR="00000000" w:rsidDel="00000000" w:rsidP="00000000" w:rsidRDefault="00000000" w:rsidRPr="00000000" w14:paraId="00000037">
            <w:pPr>
              <w:ind w:left="144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A1.1 (Paso 2) El sistema pregunta si se desea filtrar por algunos de los siguientes parámetros: marca, modelo, año de fabricación, fecha de registro, tipo de vehículo o tipo de combustible.</w:t>
            </w:r>
          </w:p>
          <w:p w:rsidR="00000000" w:rsidDel="00000000" w:rsidP="00000000" w:rsidRDefault="00000000" w:rsidRPr="00000000" w14:paraId="00000038">
            <w:pPr>
              <w:ind w:left="144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A1.2 (Paso 3) El encargado de recepción selecciona un parámetro deseado.</w:t>
            </w:r>
          </w:p>
          <w:p w:rsidR="00000000" w:rsidDel="00000000" w:rsidP="00000000" w:rsidRDefault="00000000" w:rsidRPr="00000000" w14:paraId="00000039">
            <w:pPr>
              <w:ind w:left="144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A1.3 (Paso 4) El sistema busca y recolecta los pedidos que cumplen sólo con el filtro seleccionado. Muestra los siguientes datos de cada vehículo ordenados por Patente, N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de Chasis, Marca, Modelo, Año de Fabricación, Tipo de Vehículo y Tipo de Combustible y los datos del Titular (Nombre, Apellido, Tipo DNI, DNI, Domicili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A">
            <w:pPr>
              <w:ind w:left="144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A1.4 (Paso 5) El sistema espera que el usuario seleccione la opción de cerrar ventana.</w:t>
            </w:r>
          </w:p>
          <w:p w:rsidR="00000000" w:rsidDel="00000000" w:rsidP="00000000" w:rsidRDefault="00000000" w:rsidRPr="00000000" w14:paraId="0000003B">
            <w:pPr>
              <w:ind w:left="1440" w:firstLine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A1.5 (Paso 6) El Encargado de Recepción selecciona la opción de cerrar ventana. Fin del CU.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 (Paso 7) El sistema busca y no encuentra vehículo asociado a esa patente. Se cancela el CU.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6.4062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Asociaciones de Extensión: No aplica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Asociaciones de Inclusión: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Use Case donde se incluye: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Use Case al que extiende: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Registrar Vehículo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 Generalización: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No aplica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keepNext w:val="1"/>
              <w:tabs>
                <w:tab w:val="right" w:leader="none" w:pos="1988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Maggi Mateo David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Mansilla Pedro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Pereyra Argüello Milagros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Petry Frattini Victoria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Roldan Lautaro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ind w:left="720" w:hanging="36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Urzagaste Karen</w:t>
            </w:r>
          </w:p>
          <w:p w:rsidR="00000000" w:rsidDel="00000000" w:rsidP="00000000" w:rsidRDefault="00000000" w:rsidRPr="00000000" w14:paraId="0000006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Creación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 Modificación: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Modificación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keepNext w:val="1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 Última Modificación: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7">
            <w:pPr>
              <w:keepNext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 Última Modificación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color w:val="333399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259" w:top="1418" w:left="851" w:right="851" w:header="425" w:footer="3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102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Autor: </w:t>
      <w:tab/>
      <w:tab/>
      <w:t xml:space="preserve">                                              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Plantilla_trazo_fino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4321175</wp:posOffset>
          </wp:positionH>
          <wp:positionV relativeFrom="topMargin">
            <wp:posOffset>-622933</wp:posOffset>
          </wp:positionV>
          <wp:extent cx="2160270" cy="45720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3783" l="33918" r="38664" t="28504"/>
                  <a:stretch>
                    <a:fillRect/>
                  </a:stretch>
                </pic:blipFill>
                <pic:spPr>
                  <a:xfrm>
                    <a:off x="0" y="0"/>
                    <a:ext cx="216027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6732270" cy="62039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89390" y="3479328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Cátedra de Análisis de Sistemas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Caso de Estudio: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6732270" cy="62039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2270" cy="6203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09" w:firstLineChars="-1"/>
      <w:textDirection w:val="btLr"/>
      <w:textAlignment w:val="top"/>
      <w:outlineLvl w:val="0"/>
    </w:pPr>
    <w:rPr>
      <w:rFonts w:ascii="Tahoma" w:hAnsi="Tahom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709"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266"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y5hbfCmpLpb4CV23UcMKN1iMg==">CgMxLjAaJQoBMBIgCh4IB0IaCgZUYWhvbWESEEFyaWFsIFVuaWNvZGUgTVMaJQoBMRIgCh4IB0IaCgZUYWhvbWESEEFyaWFsIFVuaWNvZGUgTVM4AHIhMVV0MEpNbFJVZWYtTzVtcWtEaE1MejNFMzdNLUxqdEF6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2005-09-09T14:55:00Z</dcterms:created>
  <dc:creator>Docente</dc:creator>
</cp:coreProperties>
</file>