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1D6BF" w14:textId="445CC9EB" w:rsidR="006E2228" w:rsidRPr="00D608D9" w:rsidRDefault="00D608D9" w:rsidP="00D608D9">
      <w:pPr>
        <w:jc w:val="center"/>
        <w:rPr>
          <w:rFonts w:ascii="Arial" w:hAnsi="Arial" w:cs="Arial"/>
          <w:b/>
          <w:bCs/>
          <w:sz w:val="24"/>
          <w:szCs w:val="24"/>
        </w:rPr>
      </w:pPr>
      <w:r w:rsidRPr="00D608D9">
        <w:rPr>
          <w:rFonts w:ascii="Arial" w:hAnsi="Arial" w:cs="Arial"/>
          <w:b/>
          <w:bCs/>
          <w:sz w:val="24"/>
          <w:szCs w:val="24"/>
        </w:rPr>
        <w:t>Problema Abordado:</w:t>
      </w:r>
    </w:p>
    <w:p w14:paraId="36D3058D" w14:textId="0330F041" w:rsidR="00D608D9" w:rsidRPr="00D608D9" w:rsidRDefault="00D608D9" w:rsidP="00D608D9">
      <w:pPr>
        <w:ind w:firstLine="708"/>
        <w:jc w:val="both"/>
        <w:rPr>
          <w:rFonts w:ascii="Arial" w:hAnsi="Arial" w:cs="Arial"/>
          <w:sz w:val="24"/>
          <w:szCs w:val="24"/>
        </w:rPr>
      </w:pPr>
      <w:r w:rsidRPr="00D608D9">
        <w:rPr>
          <w:rFonts w:ascii="Arial" w:hAnsi="Arial" w:cs="Arial"/>
          <w:sz w:val="24"/>
          <w:szCs w:val="24"/>
        </w:rPr>
        <w:t xml:space="preserve">O artigo aborda uma questão fundamental de acessibilidade, direcionada especificamente para indivíduos com deficiência visual, cuja inclusão plena na sociedade muitas vezes é prejudicada pela falta de recursos e suporte adequados. Os </w:t>
      </w:r>
      <w:r w:rsidRPr="00FD220A">
        <w:rPr>
          <w:rFonts w:ascii="Arial" w:hAnsi="Arial" w:cs="Arial"/>
          <w:color w:val="FF0000"/>
          <w:sz w:val="24"/>
          <w:szCs w:val="24"/>
        </w:rPr>
        <w:t>dados alarmantes do último Censo Demográfico no Brasil destacam que cerca de 29 milhões de pessoas enfrentam algum grau de deficiência visual, com aproximadamente 6 milhões enfrentando dificuldades significativas nesse aspecto e 500 mil enfrentando cegueira total</w:t>
      </w:r>
      <w:r w:rsidRPr="00D608D9">
        <w:rPr>
          <w:rFonts w:ascii="Arial" w:hAnsi="Arial" w:cs="Arial"/>
          <w:sz w:val="24"/>
          <w:szCs w:val="24"/>
        </w:rPr>
        <w:t>. Essas estatísticas refletem uma realidade em que as atividades diárias dessas pessoas são frequentemente limitadas pela falta de acessibilidade em espaços físicos e digitais.</w:t>
      </w:r>
    </w:p>
    <w:p w14:paraId="0FBF1961" w14:textId="077D97BA" w:rsidR="00D608D9" w:rsidRPr="00D608D9" w:rsidRDefault="00D608D9" w:rsidP="00D608D9">
      <w:pPr>
        <w:jc w:val="both"/>
        <w:rPr>
          <w:rFonts w:ascii="Arial" w:hAnsi="Arial" w:cs="Arial"/>
          <w:sz w:val="24"/>
          <w:szCs w:val="24"/>
        </w:rPr>
      </w:pPr>
      <w:r w:rsidRPr="00FD220A">
        <w:rPr>
          <w:rFonts w:ascii="Arial" w:hAnsi="Arial" w:cs="Arial"/>
          <w:color w:val="FF0000"/>
          <w:sz w:val="24"/>
          <w:szCs w:val="24"/>
        </w:rPr>
        <w:t>Nesse contexto, o artigo propõe uma abordagem inovadora denominada Helix-</w:t>
      </w:r>
      <w:proofErr w:type="spellStart"/>
      <w:r w:rsidRPr="00FD220A">
        <w:rPr>
          <w:rFonts w:ascii="Arial" w:hAnsi="Arial" w:cs="Arial"/>
          <w:color w:val="FF0000"/>
          <w:sz w:val="24"/>
          <w:szCs w:val="24"/>
        </w:rPr>
        <w:t>SIoT</w:t>
      </w:r>
      <w:proofErr w:type="spellEnd"/>
      <w:r w:rsidRPr="00FD220A">
        <w:rPr>
          <w:rFonts w:ascii="Arial" w:hAnsi="Arial" w:cs="Arial"/>
          <w:color w:val="FF0000"/>
          <w:sz w:val="24"/>
          <w:szCs w:val="24"/>
        </w:rPr>
        <w:t>, que se baseia nos conceitos emergentes da Internet das Coisas Sociais (</w:t>
      </w:r>
      <w:proofErr w:type="spellStart"/>
      <w:r w:rsidRPr="00FD220A">
        <w:rPr>
          <w:rFonts w:ascii="Arial" w:hAnsi="Arial" w:cs="Arial"/>
          <w:color w:val="FF0000"/>
          <w:sz w:val="24"/>
          <w:szCs w:val="24"/>
        </w:rPr>
        <w:t>SIoT</w:t>
      </w:r>
      <w:proofErr w:type="spellEnd"/>
      <w:r w:rsidRPr="00FD220A">
        <w:rPr>
          <w:rFonts w:ascii="Arial" w:hAnsi="Arial" w:cs="Arial"/>
          <w:color w:val="FF0000"/>
          <w:sz w:val="24"/>
          <w:szCs w:val="24"/>
        </w:rPr>
        <w:t>) para oferecer um suporte mais abrangente e eficaz às pessoas cegas e seus cuidadores</w:t>
      </w:r>
      <w:r w:rsidRPr="00D608D9">
        <w:rPr>
          <w:rFonts w:ascii="Arial" w:hAnsi="Arial" w:cs="Arial"/>
          <w:sz w:val="24"/>
          <w:szCs w:val="24"/>
        </w:rPr>
        <w:t>. A principal preocupação é otimizar a autonomia das pessoas com deficiência visual, reduzir os tempos de resposta em situações de necessidade e facilitar a seleção do cuidador mais adequado para atender às demandas específicas em diferentes contextos e momentos.</w:t>
      </w:r>
    </w:p>
    <w:p w14:paraId="1B1DEC81" w14:textId="78327131" w:rsidR="00D608D9" w:rsidRPr="00D608D9" w:rsidRDefault="00D608D9" w:rsidP="00D608D9">
      <w:pPr>
        <w:jc w:val="both"/>
        <w:rPr>
          <w:rFonts w:ascii="Arial" w:hAnsi="Arial" w:cs="Arial"/>
          <w:sz w:val="24"/>
          <w:szCs w:val="24"/>
        </w:rPr>
      </w:pPr>
      <w:r w:rsidRPr="00D608D9">
        <w:rPr>
          <w:rFonts w:ascii="Arial" w:hAnsi="Arial" w:cs="Arial"/>
          <w:sz w:val="24"/>
          <w:szCs w:val="24"/>
        </w:rPr>
        <w:t xml:space="preserve">A implementação dessa abordagem visa criar uma rede social de objetos inteligentes que possam interagir de forma significativa com as necessidades das pessoas com deficiência visual e seus cuidadores. Ao integrar a </w:t>
      </w:r>
      <w:proofErr w:type="spellStart"/>
      <w:r w:rsidRPr="00D608D9">
        <w:rPr>
          <w:rFonts w:ascii="Arial" w:hAnsi="Arial" w:cs="Arial"/>
          <w:sz w:val="24"/>
          <w:szCs w:val="24"/>
        </w:rPr>
        <w:t>SIoT</w:t>
      </w:r>
      <w:proofErr w:type="spellEnd"/>
      <w:r w:rsidRPr="00D608D9">
        <w:rPr>
          <w:rFonts w:ascii="Arial" w:hAnsi="Arial" w:cs="Arial"/>
          <w:sz w:val="24"/>
          <w:szCs w:val="24"/>
        </w:rPr>
        <w:t xml:space="preserve"> ao tratamento desses indivíduos, o artigo busca promover uma maior independência e confiança no suporte prestado, superando as barreiras que atualmente limitam sua participação plena na sociedade. Além disso, a utilização de </w:t>
      </w:r>
      <w:proofErr w:type="spellStart"/>
      <w:r w:rsidRPr="00D608D9">
        <w:rPr>
          <w:rFonts w:ascii="Arial" w:hAnsi="Arial" w:cs="Arial"/>
          <w:sz w:val="24"/>
          <w:szCs w:val="24"/>
        </w:rPr>
        <w:t>Context</w:t>
      </w:r>
      <w:proofErr w:type="spellEnd"/>
      <w:r w:rsidRPr="00D608D9">
        <w:rPr>
          <w:rFonts w:ascii="Arial" w:hAnsi="Arial" w:cs="Arial"/>
          <w:sz w:val="24"/>
          <w:szCs w:val="24"/>
        </w:rPr>
        <w:t xml:space="preserve"> </w:t>
      </w:r>
      <w:proofErr w:type="spellStart"/>
      <w:r w:rsidRPr="00D608D9">
        <w:rPr>
          <w:rFonts w:ascii="Arial" w:hAnsi="Arial" w:cs="Arial"/>
          <w:sz w:val="24"/>
          <w:szCs w:val="24"/>
        </w:rPr>
        <w:t>Awareness</w:t>
      </w:r>
      <w:proofErr w:type="spellEnd"/>
      <w:r w:rsidRPr="00D608D9">
        <w:rPr>
          <w:rFonts w:ascii="Arial" w:hAnsi="Arial" w:cs="Arial"/>
          <w:sz w:val="24"/>
          <w:szCs w:val="24"/>
        </w:rPr>
        <w:t xml:space="preserve"> e Análise de Decisão de Múltiplos Critérios (MCDA) permite uma abordagem mais adaptativa e personalizada, considerando as necessidades específicas de cada usuário em diferentes situações.</w:t>
      </w:r>
    </w:p>
    <w:p w14:paraId="43107EA0" w14:textId="6606D8A5" w:rsidR="00D608D9" w:rsidRDefault="00D608D9" w:rsidP="00D608D9">
      <w:pPr>
        <w:jc w:val="both"/>
        <w:rPr>
          <w:rFonts w:ascii="Arial" w:hAnsi="Arial" w:cs="Arial"/>
          <w:sz w:val="24"/>
          <w:szCs w:val="24"/>
        </w:rPr>
      </w:pPr>
      <w:r w:rsidRPr="00D608D9">
        <w:rPr>
          <w:rFonts w:ascii="Arial" w:hAnsi="Arial" w:cs="Arial"/>
          <w:sz w:val="24"/>
          <w:szCs w:val="24"/>
        </w:rPr>
        <w:t>Através da integração dessas tecnologias, o artigo almeja não apenas oferecer soluções técnicas para problemas de acessibilidade, mas também promover uma mudança significativa na qualidade de vida e inclusão social das pessoas com deficiência visual, capacitando-as a exercer plenamente sua cidadania e participar ativamente na sociedade contemporânea.</w:t>
      </w:r>
    </w:p>
    <w:p w14:paraId="11E160DA" w14:textId="77777777" w:rsidR="00FD220A" w:rsidRDefault="00FD220A" w:rsidP="00D608D9">
      <w:pPr>
        <w:jc w:val="both"/>
        <w:rPr>
          <w:rFonts w:ascii="Arial" w:hAnsi="Arial" w:cs="Arial"/>
          <w:sz w:val="24"/>
          <w:szCs w:val="24"/>
        </w:rPr>
      </w:pPr>
    </w:p>
    <w:p w14:paraId="4402A2D0" w14:textId="7AE8C6C9" w:rsidR="00FD220A" w:rsidRPr="00FD220A" w:rsidRDefault="00FD220A" w:rsidP="00D608D9">
      <w:pPr>
        <w:numPr>
          <w:ilvl w:val="0"/>
          <w:numId w:val="1"/>
        </w:numPr>
        <w:jc w:val="both"/>
        <w:rPr>
          <w:rFonts w:ascii="Arial" w:hAnsi="Arial" w:cs="Arial"/>
          <w:sz w:val="24"/>
          <w:szCs w:val="24"/>
        </w:rPr>
      </w:pPr>
      <w:r w:rsidRPr="00FD220A">
        <w:rPr>
          <w:rFonts w:ascii="Arial" w:hAnsi="Arial" w:cs="Arial"/>
          <w:sz w:val="24"/>
          <w:szCs w:val="24"/>
        </w:rPr>
        <w:t>O artigo aborda o problema da acessibilidade para pessoas com deficiência visual, destacando a falta de recursos disponíveis para apoiar sua plena participação na sociedade. Com base em dados do último Censo Demográfico, que aponta para milhões de pessoas no Brasil com algum tipo de deficiência visual, o texto ressalta as dificuldades enfrentadas por essas pessoas em suas atividades diárias devido à falta de acessibilidade. Em resposta a esse problema, o artigo propõe uma abordagem chamada Helix-</w:t>
      </w:r>
      <w:proofErr w:type="spellStart"/>
      <w:r w:rsidRPr="00FD220A">
        <w:rPr>
          <w:rFonts w:ascii="Arial" w:hAnsi="Arial" w:cs="Arial"/>
          <w:sz w:val="24"/>
          <w:szCs w:val="24"/>
        </w:rPr>
        <w:t>SIoT</w:t>
      </w:r>
      <w:proofErr w:type="spellEnd"/>
      <w:r w:rsidRPr="00FD220A">
        <w:rPr>
          <w:rFonts w:ascii="Arial" w:hAnsi="Arial" w:cs="Arial"/>
          <w:sz w:val="24"/>
          <w:szCs w:val="24"/>
        </w:rPr>
        <w:t>, que utiliza os conceitos de Internet das Coisas Sociais (</w:t>
      </w:r>
      <w:proofErr w:type="spellStart"/>
      <w:r w:rsidRPr="00FD220A">
        <w:rPr>
          <w:rFonts w:ascii="Arial" w:hAnsi="Arial" w:cs="Arial"/>
          <w:sz w:val="24"/>
          <w:szCs w:val="24"/>
        </w:rPr>
        <w:t>SIoT</w:t>
      </w:r>
      <w:proofErr w:type="spellEnd"/>
      <w:r w:rsidRPr="00FD220A">
        <w:rPr>
          <w:rFonts w:ascii="Arial" w:hAnsi="Arial" w:cs="Arial"/>
          <w:sz w:val="24"/>
          <w:szCs w:val="24"/>
        </w:rPr>
        <w:t xml:space="preserve">) para melhorar o suporte oferecido às pessoas cegas e seus cuidadores. Essa abordagem busca otimizar a autonomia </w:t>
      </w:r>
      <w:r w:rsidRPr="00FD220A">
        <w:rPr>
          <w:rFonts w:ascii="Arial" w:hAnsi="Arial" w:cs="Arial"/>
          <w:sz w:val="24"/>
          <w:szCs w:val="24"/>
        </w:rPr>
        <w:lastRenderedPageBreak/>
        <w:t xml:space="preserve">das pessoas com deficiência visual, reduzir os tempos de resposta e selecionar o cuidador mais confiável para atender às necessidades específicas em diferentes situações. Ao integrar a </w:t>
      </w:r>
      <w:proofErr w:type="spellStart"/>
      <w:r w:rsidRPr="00FD220A">
        <w:rPr>
          <w:rFonts w:ascii="Arial" w:hAnsi="Arial" w:cs="Arial"/>
          <w:sz w:val="24"/>
          <w:szCs w:val="24"/>
        </w:rPr>
        <w:t>SIoT</w:t>
      </w:r>
      <w:proofErr w:type="spellEnd"/>
      <w:r w:rsidRPr="00FD220A">
        <w:rPr>
          <w:rFonts w:ascii="Arial" w:hAnsi="Arial" w:cs="Arial"/>
          <w:sz w:val="24"/>
          <w:szCs w:val="24"/>
        </w:rPr>
        <w:t xml:space="preserve"> ao tratamento das pessoas com deficiência visual e seus cuidadores, o artigo visa aumentar a confiança no cuidado prestado e melhorar sua qualidade de vida</w:t>
      </w:r>
    </w:p>
    <w:p w14:paraId="37837F68" w14:textId="77777777" w:rsidR="00D608D9" w:rsidRDefault="00D608D9" w:rsidP="00FD220A">
      <w:pPr>
        <w:rPr>
          <w:rFonts w:ascii="Arial" w:hAnsi="Arial" w:cs="Arial"/>
          <w:sz w:val="24"/>
          <w:szCs w:val="24"/>
        </w:rPr>
      </w:pPr>
    </w:p>
    <w:p w14:paraId="750058D0" w14:textId="77777777" w:rsidR="00FD220A" w:rsidRDefault="00FD220A" w:rsidP="00FD220A">
      <w:pPr>
        <w:rPr>
          <w:rFonts w:ascii="Arial" w:hAnsi="Arial" w:cs="Arial"/>
          <w:b/>
          <w:bCs/>
          <w:sz w:val="24"/>
          <w:szCs w:val="24"/>
        </w:rPr>
      </w:pPr>
    </w:p>
    <w:p w14:paraId="72B0F665" w14:textId="46FB734F" w:rsidR="00D608D9" w:rsidRDefault="00D608D9" w:rsidP="00D608D9">
      <w:pPr>
        <w:jc w:val="center"/>
        <w:rPr>
          <w:rFonts w:ascii="Arial" w:hAnsi="Arial" w:cs="Arial"/>
          <w:b/>
          <w:bCs/>
          <w:sz w:val="24"/>
          <w:szCs w:val="24"/>
        </w:rPr>
      </w:pPr>
      <w:r>
        <w:rPr>
          <w:rFonts w:ascii="Arial" w:hAnsi="Arial" w:cs="Arial"/>
          <w:b/>
          <w:bCs/>
          <w:sz w:val="24"/>
          <w:szCs w:val="24"/>
        </w:rPr>
        <w:t>Motivações:</w:t>
      </w:r>
    </w:p>
    <w:p w14:paraId="5DC7A2C9" w14:textId="77777777" w:rsidR="00D608D9" w:rsidRPr="00D608D9" w:rsidRDefault="00D608D9" w:rsidP="00D608D9">
      <w:pPr>
        <w:jc w:val="center"/>
        <w:rPr>
          <w:rFonts w:ascii="Arial" w:hAnsi="Arial" w:cs="Arial"/>
          <w:sz w:val="24"/>
          <w:szCs w:val="24"/>
        </w:rPr>
      </w:pPr>
    </w:p>
    <w:p w14:paraId="49AB660E" w14:textId="1825B8BF" w:rsidR="00D608D9" w:rsidRDefault="00D608D9" w:rsidP="00D608D9">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D608D9">
        <w:rPr>
          <w:rFonts w:ascii="Arial" w:hAnsi="Arial" w:cs="Arial"/>
          <w:sz w:val="24"/>
          <w:szCs w:val="24"/>
        </w:rPr>
        <w:t>As motivações por trás da abordagem proposta neste artigo são profundamente enraizadas na necessidade premente de melhorar a qualidade de vida e promover a inclusão social de pessoas com deficiência visual. Reconhecendo as barreiras significativas que esses indivíduos enfrentam em suas vidas diárias, desde a acessibilidade física até a falta de recursos digitais adequados, a motivação central é proporcionar-lhes maior autonomia e empoderamento. Além disso, há um forte compromisso com a igualdade de oportunidades e o desejo de reduzir as disparidades existentes na sociedade. Acreditamos firmemente que ao abordar essas motivações, podemos contribuir para um mundo mais inclusivo e igualitário, onde todas as pessoas, independentemente de suas habilidades ou limitações, tenham a oportunidade de participar plenamente na vida social, econômica e cultural.</w:t>
      </w:r>
    </w:p>
    <w:p w14:paraId="4E9E4A55" w14:textId="77777777" w:rsidR="00FD220A" w:rsidRDefault="00FD220A" w:rsidP="00D608D9">
      <w:pPr>
        <w:jc w:val="both"/>
        <w:rPr>
          <w:rFonts w:ascii="Arial" w:hAnsi="Arial" w:cs="Arial"/>
          <w:sz w:val="24"/>
          <w:szCs w:val="24"/>
        </w:rPr>
      </w:pPr>
    </w:p>
    <w:p w14:paraId="0CCD1A94" w14:textId="11D103DC" w:rsidR="00FD220A" w:rsidRDefault="00FD220A" w:rsidP="00FD220A">
      <w:pPr>
        <w:jc w:val="center"/>
        <w:rPr>
          <w:rFonts w:ascii="Arial" w:hAnsi="Arial" w:cs="Arial"/>
          <w:b/>
          <w:bCs/>
          <w:sz w:val="24"/>
          <w:szCs w:val="24"/>
        </w:rPr>
      </w:pPr>
      <w:r>
        <w:rPr>
          <w:rFonts w:ascii="Arial" w:hAnsi="Arial" w:cs="Arial"/>
          <w:b/>
          <w:bCs/>
          <w:sz w:val="24"/>
          <w:szCs w:val="24"/>
        </w:rPr>
        <w:t>Objetivo:</w:t>
      </w:r>
    </w:p>
    <w:p w14:paraId="59B10862" w14:textId="61643D92" w:rsidR="00FD220A" w:rsidRPr="00FD220A" w:rsidRDefault="00FD220A" w:rsidP="00FD220A">
      <w:pPr>
        <w:jc w:val="both"/>
        <w:rPr>
          <w:rFonts w:ascii="Arial" w:hAnsi="Arial" w:cs="Arial"/>
          <w:sz w:val="24"/>
          <w:szCs w:val="24"/>
        </w:rPr>
      </w:pPr>
      <w:r w:rsidRPr="00FD220A">
        <w:rPr>
          <w:rFonts w:ascii="Arial" w:hAnsi="Arial" w:cs="Arial"/>
          <w:sz w:val="24"/>
          <w:szCs w:val="24"/>
        </w:rPr>
        <w:t>Este artigo propõe a abordagem Helix-</w:t>
      </w:r>
      <w:proofErr w:type="spellStart"/>
      <w:r w:rsidRPr="00FD220A">
        <w:rPr>
          <w:rFonts w:ascii="Arial" w:hAnsi="Arial" w:cs="Arial"/>
          <w:sz w:val="24"/>
          <w:szCs w:val="24"/>
        </w:rPr>
        <w:t>SIoT</w:t>
      </w:r>
      <w:proofErr w:type="spellEnd"/>
      <w:r w:rsidRPr="00FD220A">
        <w:rPr>
          <w:rFonts w:ascii="Arial" w:hAnsi="Arial" w:cs="Arial"/>
          <w:sz w:val="24"/>
          <w:szCs w:val="24"/>
        </w:rPr>
        <w:t xml:space="preserve"> como uma resposta inovadora aos desafios enfrentados por pessoas com deficiência visual. O principal objetivo é oferecer suporte abrangente e eficaz para melhorar sua qualidade de vida e facilitar sua inclusão social. Através da integração de conceitos da Internet das Coisas Sociais (</w:t>
      </w:r>
      <w:proofErr w:type="spellStart"/>
      <w:r w:rsidRPr="00FD220A">
        <w:rPr>
          <w:rFonts w:ascii="Arial" w:hAnsi="Arial" w:cs="Arial"/>
          <w:sz w:val="24"/>
          <w:szCs w:val="24"/>
        </w:rPr>
        <w:t>SIoT</w:t>
      </w:r>
      <w:proofErr w:type="spellEnd"/>
      <w:r w:rsidRPr="00FD220A">
        <w:rPr>
          <w:rFonts w:ascii="Arial" w:hAnsi="Arial" w:cs="Arial"/>
          <w:sz w:val="24"/>
          <w:szCs w:val="24"/>
        </w:rPr>
        <w:t>), a Helix-</w:t>
      </w:r>
      <w:proofErr w:type="spellStart"/>
      <w:r w:rsidRPr="00FD220A">
        <w:rPr>
          <w:rFonts w:ascii="Arial" w:hAnsi="Arial" w:cs="Arial"/>
          <w:sz w:val="24"/>
          <w:szCs w:val="24"/>
        </w:rPr>
        <w:t>SIoT</w:t>
      </w:r>
      <w:proofErr w:type="spellEnd"/>
      <w:r w:rsidRPr="00FD220A">
        <w:rPr>
          <w:rFonts w:ascii="Arial" w:hAnsi="Arial" w:cs="Arial"/>
          <w:sz w:val="24"/>
          <w:szCs w:val="24"/>
        </w:rPr>
        <w:t xml:space="preserve"> visa proporcionar maior autonomia aos indivíduos com deficiência visual, reduzir os tempos de resposta em situações de necessidade e facilitar a seleção dos cuidadores mais adequados para atender às suas demandas específicas.</w:t>
      </w:r>
    </w:p>
    <w:p w14:paraId="779B7D93" w14:textId="77777777" w:rsidR="00FD220A" w:rsidRPr="00FD220A" w:rsidRDefault="00FD220A" w:rsidP="00FD220A">
      <w:pPr>
        <w:jc w:val="both"/>
        <w:rPr>
          <w:rFonts w:ascii="Arial" w:hAnsi="Arial" w:cs="Arial"/>
          <w:sz w:val="24"/>
          <w:szCs w:val="24"/>
        </w:rPr>
      </w:pPr>
      <w:r w:rsidRPr="00FD220A">
        <w:rPr>
          <w:rFonts w:ascii="Arial" w:hAnsi="Arial" w:cs="Arial"/>
          <w:sz w:val="24"/>
          <w:szCs w:val="24"/>
        </w:rPr>
        <w:t xml:space="preserve">Essa abordagem utiliza </w:t>
      </w:r>
      <w:proofErr w:type="spellStart"/>
      <w:r w:rsidRPr="00FD220A">
        <w:rPr>
          <w:rFonts w:ascii="Arial" w:hAnsi="Arial" w:cs="Arial"/>
          <w:sz w:val="24"/>
          <w:szCs w:val="24"/>
        </w:rPr>
        <w:t>Context</w:t>
      </w:r>
      <w:proofErr w:type="spellEnd"/>
      <w:r w:rsidRPr="00FD220A">
        <w:rPr>
          <w:rFonts w:ascii="Arial" w:hAnsi="Arial" w:cs="Arial"/>
          <w:sz w:val="24"/>
          <w:szCs w:val="24"/>
        </w:rPr>
        <w:t xml:space="preserve"> </w:t>
      </w:r>
      <w:proofErr w:type="spellStart"/>
      <w:r w:rsidRPr="00FD220A">
        <w:rPr>
          <w:rFonts w:ascii="Arial" w:hAnsi="Arial" w:cs="Arial"/>
          <w:sz w:val="24"/>
          <w:szCs w:val="24"/>
        </w:rPr>
        <w:t>Awareness</w:t>
      </w:r>
      <w:proofErr w:type="spellEnd"/>
      <w:r w:rsidRPr="00FD220A">
        <w:rPr>
          <w:rFonts w:ascii="Arial" w:hAnsi="Arial" w:cs="Arial"/>
          <w:sz w:val="24"/>
          <w:szCs w:val="24"/>
        </w:rPr>
        <w:t xml:space="preserve"> e Análise de Decisão de Múltiplos Critérios (MCDA) para desenvolver soluções adaptativas e personalizadas. Essas soluções são projetadas para considerar as diferentes situações enfrentadas pelas pessoas com deficiência visual em seu cotidiano, permitindo uma resposta mais eficiente e adequada às suas necessidades em tempo real.</w:t>
      </w:r>
    </w:p>
    <w:p w14:paraId="4DC8F94F" w14:textId="227F0DE3" w:rsidR="00FD220A" w:rsidRDefault="00FD220A" w:rsidP="00FD220A">
      <w:pPr>
        <w:jc w:val="both"/>
        <w:rPr>
          <w:rFonts w:ascii="Arial" w:hAnsi="Arial" w:cs="Arial"/>
          <w:sz w:val="24"/>
          <w:szCs w:val="24"/>
        </w:rPr>
      </w:pPr>
      <w:r w:rsidRPr="00FD220A">
        <w:rPr>
          <w:rFonts w:ascii="Arial" w:hAnsi="Arial" w:cs="Arial"/>
          <w:sz w:val="24"/>
          <w:szCs w:val="24"/>
        </w:rPr>
        <w:t>Ao atingir esses objetivos, o artigo busca não apenas melhorar a qualidade de vida das pessoas com deficiência visual, mas também promover uma mudança significativa na forma como essas pessoas são percebidas e integradas na sociedade. A Helix-</w:t>
      </w:r>
      <w:proofErr w:type="spellStart"/>
      <w:r w:rsidRPr="00FD220A">
        <w:rPr>
          <w:rFonts w:ascii="Arial" w:hAnsi="Arial" w:cs="Arial"/>
          <w:sz w:val="24"/>
          <w:szCs w:val="24"/>
        </w:rPr>
        <w:t>SIoT</w:t>
      </w:r>
      <w:proofErr w:type="spellEnd"/>
      <w:r w:rsidRPr="00FD220A">
        <w:rPr>
          <w:rFonts w:ascii="Arial" w:hAnsi="Arial" w:cs="Arial"/>
          <w:sz w:val="24"/>
          <w:szCs w:val="24"/>
        </w:rPr>
        <w:t xml:space="preserve"> visa contribuir para a construção de um mundo mais inclusivo e igualitário, onde todas as pessoas, independentemente de suas </w:t>
      </w:r>
      <w:r w:rsidRPr="00FD220A">
        <w:rPr>
          <w:rFonts w:ascii="Arial" w:hAnsi="Arial" w:cs="Arial"/>
          <w:sz w:val="24"/>
          <w:szCs w:val="24"/>
        </w:rPr>
        <w:lastRenderedPageBreak/>
        <w:t>habilidades ou limitações, tenham a oportunidade de participar plenamente na vida social, econômica e cultural.</w:t>
      </w:r>
    </w:p>
    <w:p w14:paraId="1DC85683" w14:textId="77777777" w:rsidR="00FD220A" w:rsidRDefault="00FD220A" w:rsidP="00FD220A">
      <w:pPr>
        <w:jc w:val="both"/>
        <w:rPr>
          <w:rFonts w:ascii="Arial" w:hAnsi="Arial" w:cs="Arial"/>
          <w:sz w:val="24"/>
          <w:szCs w:val="24"/>
        </w:rPr>
      </w:pPr>
    </w:p>
    <w:p w14:paraId="3743F8B1" w14:textId="77777777" w:rsidR="00FD220A" w:rsidRPr="00FD220A" w:rsidRDefault="00FD220A" w:rsidP="00FD220A">
      <w:pPr>
        <w:jc w:val="both"/>
        <w:rPr>
          <w:rFonts w:ascii="Arial" w:hAnsi="Arial" w:cs="Arial"/>
          <w:sz w:val="24"/>
          <w:szCs w:val="24"/>
        </w:rPr>
      </w:pPr>
    </w:p>
    <w:sectPr w:rsidR="00FD220A" w:rsidRPr="00FD22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C6B6B"/>
    <w:multiLevelType w:val="hybridMultilevel"/>
    <w:tmpl w:val="497460D0"/>
    <w:lvl w:ilvl="0" w:tplc="947CD198">
      <w:start w:val="1"/>
      <w:numFmt w:val="bullet"/>
      <w:lvlText w:val=""/>
      <w:lvlJc w:val="left"/>
      <w:pPr>
        <w:tabs>
          <w:tab w:val="num" w:pos="720"/>
        </w:tabs>
        <w:ind w:left="720" w:hanging="360"/>
      </w:pPr>
      <w:rPr>
        <w:rFonts w:ascii="Wingdings" w:hAnsi="Wingdings" w:hint="default"/>
      </w:rPr>
    </w:lvl>
    <w:lvl w:ilvl="1" w:tplc="6E0416E2" w:tentative="1">
      <w:start w:val="1"/>
      <w:numFmt w:val="bullet"/>
      <w:lvlText w:val=""/>
      <w:lvlJc w:val="left"/>
      <w:pPr>
        <w:tabs>
          <w:tab w:val="num" w:pos="1440"/>
        </w:tabs>
        <w:ind w:left="1440" w:hanging="360"/>
      </w:pPr>
      <w:rPr>
        <w:rFonts w:ascii="Wingdings" w:hAnsi="Wingdings" w:hint="default"/>
      </w:rPr>
    </w:lvl>
    <w:lvl w:ilvl="2" w:tplc="29A02676" w:tentative="1">
      <w:start w:val="1"/>
      <w:numFmt w:val="bullet"/>
      <w:lvlText w:val=""/>
      <w:lvlJc w:val="left"/>
      <w:pPr>
        <w:tabs>
          <w:tab w:val="num" w:pos="2160"/>
        </w:tabs>
        <w:ind w:left="2160" w:hanging="360"/>
      </w:pPr>
      <w:rPr>
        <w:rFonts w:ascii="Wingdings" w:hAnsi="Wingdings" w:hint="default"/>
      </w:rPr>
    </w:lvl>
    <w:lvl w:ilvl="3" w:tplc="04C2F45E" w:tentative="1">
      <w:start w:val="1"/>
      <w:numFmt w:val="bullet"/>
      <w:lvlText w:val=""/>
      <w:lvlJc w:val="left"/>
      <w:pPr>
        <w:tabs>
          <w:tab w:val="num" w:pos="2880"/>
        </w:tabs>
        <w:ind w:left="2880" w:hanging="360"/>
      </w:pPr>
      <w:rPr>
        <w:rFonts w:ascii="Wingdings" w:hAnsi="Wingdings" w:hint="default"/>
      </w:rPr>
    </w:lvl>
    <w:lvl w:ilvl="4" w:tplc="3FDE9676" w:tentative="1">
      <w:start w:val="1"/>
      <w:numFmt w:val="bullet"/>
      <w:lvlText w:val=""/>
      <w:lvlJc w:val="left"/>
      <w:pPr>
        <w:tabs>
          <w:tab w:val="num" w:pos="3600"/>
        </w:tabs>
        <w:ind w:left="3600" w:hanging="360"/>
      </w:pPr>
      <w:rPr>
        <w:rFonts w:ascii="Wingdings" w:hAnsi="Wingdings" w:hint="default"/>
      </w:rPr>
    </w:lvl>
    <w:lvl w:ilvl="5" w:tplc="97702154" w:tentative="1">
      <w:start w:val="1"/>
      <w:numFmt w:val="bullet"/>
      <w:lvlText w:val=""/>
      <w:lvlJc w:val="left"/>
      <w:pPr>
        <w:tabs>
          <w:tab w:val="num" w:pos="4320"/>
        </w:tabs>
        <w:ind w:left="4320" w:hanging="360"/>
      </w:pPr>
      <w:rPr>
        <w:rFonts w:ascii="Wingdings" w:hAnsi="Wingdings" w:hint="default"/>
      </w:rPr>
    </w:lvl>
    <w:lvl w:ilvl="6" w:tplc="E4007026" w:tentative="1">
      <w:start w:val="1"/>
      <w:numFmt w:val="bullet"/>
      <w:lvlText w:val=""/>
      <w:lvlJc w:val="left"/>
      <w:pPr>
        <w:tabs>
          <w:tab w:val="num" w:pos="5040"/>
        </w:tabs>
        <w:ind w:left="5040" w:hanging="360"/>
      </w:pPr>
      <w:rPr>
        <w:rFonts w:ascii="Wingdings" w:hAnsi="Wingdings" w:hint="default"/>
      </w:rPr>
    </w:lvl>
    <w:lvl w:ilvl="7" w:tplc="BEBA5832" w:tentative="1">
      <w:start w:val="1"/>
      <w:numFmt w:val="bullet"/>
      <w:lvlText w:val=""/>
      <w:lvlJc w:val="left"/>
      <w:pPr>
        <w:tabs>
          <w:tab w:val="num" w:pos="5760"/>
        </w:tabs>
        <w:ind w:left="5760" w:hanging="360"/>
      </w:pPr>
      <w:rPr>
        <w:rFonts w:ascii="Wingdings" w:hAnsi="Wingdings" w:hint="default"/>
      </w:rPr>
    </w:lvl>
    <w:lvl w:ilvl="8" w:tplc="0E82D9E6" w:tentative="1">
      <w:start w:val="1"/>
      <w:numFmt w:val="bullet"/>
      <w:lvlText w:val=""/>
      <w:lvlJc w:val="left"/>
      <w:pPr>
        <w:tabs>
          <w:tab w:val="num" w:pos="6480"/>
        </w:tabs>
        <w:ind w:left="6480" w:hanging="360"/>
      </w:pPr>
      <w:rPr>
        <w:rFonts w:ascii="Wingdings" w:hAnsi="Wingdings" w:hint="default"/>
      </w:rPr>
    </w:lvl>
  </w:abstractNum>
  <w:num w:numId="1" w16cid:durableId="1774277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AB6"/>
    <w:rsid w:val="006E2228"/>
    <w:rsid w:val="00A6090D"/>
    <w:rsid w:val="00B72AB6"/>
    <w:rsid w:val="00D608D9"/>
    <w:rsid w:val="00FD22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C749"/>
  <w15:chartTrackingRefBased/>
  <w15:docId w15:val="{33EFF045-AD0D-4DA5-9822-CBD2BF78A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738122">
      <w:bodyDiv w:val="1"/>
      <w:marLeft w:val="0"/>
      <w:marRight w:val="0"/>
      <w:marTop w:val="0"/>
      <w:marBottom w:val="0"/>
      <w:divBdr>
        <w:top w:val="none" w:sz="0" w:space="0" w:color="auto"/>
        <w:left w:val="none" w:sz="0" w:space="0" w:color="auto"/>
        <w:bottom w:val="none" w:sz="0" w:space="0" w:color="auto"/>
        <w:right w:val="none" w:sz="0" w:space="0" w:color="auto"/>
      </w:divBdr>
    </w:div>
    <w:div w:id="1119684667">
      <w:bodyDiv w:val="1"/>
      <w:marLeft w:val="0"/>
      <w:marRight w:val="0"/>
      <w:marTop w:val="0"/>
      <w:marBottom w:val="0"/>
      <w:divBdr>
        <w:top w:val="none" w:sz="0" w:space="0" w:color="auto"/>
        <w:left w:val="none" w:sz="0" w:space="0" w:color="auto"/>
        <w:bottom w:val="none" w:sz="0" w:space="0" w:color="auto"/>
        <w:right w:val="none" w:sz="0" w:space="0" w:color="auto"/>
      </w:divBdr>
      <w:divsChild>
        <w:div w:id="1181238545">
          <w:marLeft w:val="720"/>
          <w:marRight w:val="0"/>
          <w:marTop w:val="140"/>
          <w:marBottom w:val="140"/>
          <w:divBdr>
            <w:top w:val="none" w:sz="0" w:space="0" w:color="auto"/>
            <w:left w:val="none" w:sz="0" w:space="0" w:color="auto"/>
            <w:bottom w:val="none" w:sz="0" w:space="0" w:color="auto"/>
            <w:right w:val="none" w:sz="0" w:space="0" w:color="auto"/>
          </w:divBdr>
        </w:div>
      </w:divsChild>
    </w:div>
    <w:div w:id="168139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867</Words>
  <Characters>4683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Militão</dc:creator>
  <cp:keywords/>
  <dc:description/>
  <cp:lastModifiedBy>Vitor Militão</cp:lastModifiedBy>
  <cp:revision>2</cp:revision>
  <dcterms:created xsi:type="dcterms:W3CDTF">2024-03-31T22:53:00Z</dcterms:created>
  <dcterms:modified xsi:type="dcterms:W3CDTF">2024-03-31T23:20:00Z</dcterms:modified>
</cp:coreProperties>
</file>