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60B0" w14:textId="1B648892" w:rsidR="00946AF0" w:rsidRDefault="00946AF0" w:rsidP="006700C5">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Wilderness analysis using SAWE</w:t>
      </w:r>
    </w:p>
    <w:p w14:paraId="00965EC9" w14:textId="7E79472F" w:rsidR="006700C5" w:rsidRPr="006700C5" w:rsidRDefault="00946AF0" w:rsidP="006700C5">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This wilderness analysis assumes that wilderness is any area with a distance of more than 1 km away from encroachments. The areas away from encroachments are further divided into the following categories:</w:t>
      </w:r>
    </w:p>
    <w:tbl>
      <w:tblPr>
        <w:tblW w:w="9372"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229"/>
        <w:gridCol w:w="3125"/>
        <w:gridCol w:w="5018"/>
      </w:tblGrid>
      <w:tr w:rsidR="006700C5" w:rsidRPr="006700C5" w14:paraId="31A9CD7E" w14:textId="77777777" w:rsidTr="00946AF0">
        <w:tc>
          <w:tcPr>
            <w:tcW w:w="65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23BEF3C7"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b/>
                <w:bCs/>
                <w:i/>
                <w:iCs/>
                <w:color w:val="757575"/>
                <w:sz w:val="18"/>
                <w:szCs w:val="18"/>
                <w:bdr w:val="none" w:sz="0" w:space="0" w:color="auto" w:frame="1"/>
                <w:lang w:val="en-IE" w:eastAsia="en-IE"/>
              </w:rPr>
              <w:t>Code</w:t>
            </w:r>
          </w:p>
        </w:tc>
        <w:tc>
          <w:tcPr>
            <w:tcW w:w="166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6F9AD9F4"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b/>
                <w:bCs/>
                <w:i/>
                <w:iCs/>
                <w:color w:val="757575"/>
                <w:sz w:val="18"/>
                <w:szCs w:val="18"/>
                <w:bdr w:val="none" w:sz="0" w:space="0" w:color="auto" w:frame="1"/>
                <w:lang w:val="en-IE" w:eastAsia="en-IE"/>
              </w:rPr>
              <w:t>Name</w:t>
            </w:r>
          </w:p>
        </w:tc>
        <w:tc>
          <w:tcPr>
            <w:tcW w:w="267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22A867FB"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b/>
                <w:bCs/>
                <w:i/>
                <w:iCs/>
                <w:color w:val="757575"/>
                <w:sz w:val="18"/>
                <w:szCs w:val="18"/>
                <w:bdr w:val="none" w:sz="0" w:space="0" w:color="auto" w:frame="1"/>
                <w:lang w:val="en-IE" w:eastAsia="en-IE"/>
              </w:rPr>
              <w:t>Distance from encroachment</w:t>
            </w:r>
          </w:p>
        </w:tc>
      </w:tr>
      <w:tr w:rsidR="006700C5" w:rsidRPr="006700C5" w14:paraId="418FBCA4" w14:textId="77777777" w:rsidTr="00946AF0">
        <w:tc>
          <w:tcPr>
            <w:tcW w:w="65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5A3D3549"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w</w:t>
            </w:r>
          </w:p>
        </w:tc>
        <w:tc>
          <w:tcPr>
            <w:tcW w:w="166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79321B8A"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wilderness</w:t>
            </w:r>
          </w:p>
        </w:tc>
        <w:tc>
          <w:tcPr>
            <w:tcW w:w="267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12577E2A"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+5 kms</w:t>
            </w:r>
          </w:p>
        </w:tc>
      </w:tr>
      <w:tr w:rsidR="006700C5" w:rsidRPr="006700C5" w14:paraId="4880B455" w14:textId="77777777" w:rsidTr="00946AF0">
        <w:tc>
          <w:tcPr>
            <w:tcW w:w="65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4244BFF0"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1</w:t>
            </w:r>
          </w:p>
        </w:tc>
        <w:tc>
          <w:tcPr>
            <w:tcW w:w="166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6284244A"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wilderness, (zone 1)</w:t>
            </w:r>
          </w:p>
        </w:tc>
        <w:tc>
          <w:tcPr>
            <w:tcW w:w="267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02711D61"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3-5 kms</w:t>
            </w:r>
          </w:p>
        </w:tc>
      </w:tr>
      <w:tr w:rsidR="006700C5" w:rsidRPr="006700C5" w14:paraId="18102901" w14:textId="77777777" w:rsidTr="00946AF0">
        <w:tc>
          <w:tcPr>
            <w:tcW w:w="65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0C92ED29"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2</w:t>
            </w:r>
          </w:p>
        </w:tc>
        <w:tc>
          <w:tcPr>
            <w:tcW w:w="166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7BA104EC"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wilderness (zone 2)</w:t>
            </w:r>
          </w:p>
        </w:tc>
        <w:tc>
          <w:tcPr>
            <w:tcW w:w="267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6B46D96D"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1-3 kms</w:t>
            </w:r>
          </w:p>
        </w:tc>
      </w:tr>
      <w:tr w:rsidR="006700C5" w:rsidRPr="006700C5" w14:paraId="2317DA69" w14:textId="77777777" w:rsidTr="00946AF0">
        <w:tc>
          <w:tcPr>
            <w:tcW w:w="65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3F01CF53"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n</w:t>
            </w:r>
          </w:p>
        </w:tc>
        <w:tc>
          <w:tcPr>
            <w:tcW w:w="166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437B7353"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near encroachment</w:t>
            </w:r>
          </w:p>
        </w:tc>
        <w:tc>
          <w:tcPr>
            <w:tcW w:w="2677"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72041EA0" w14:textId="77777777" w:rsidR="006700C5" w:rsidRPr="006700C5" w:rsidRDefault="006700C5" w:rsidP="006700C5">
            <w:pPr>
              <w:spacing w:after="0" w:line="240" w:lineRule="auto"/>
              <w:textAlignment w:val="baseline"/>
              <w:rPr>
                <w:rFonts w:ascii="Open Sans" w:eastAsia="Times New Roman" w:hAnsi="Open Sans" w:cs="Open Sans"/>
                <w:i/>
                <w:iCs/>
                <w:color w:val="757575"/>
                <w:sz w:val="18"/>
                <w:szCs w:val="18"/>
                <w:lang w:val="en-IE" w:eastAsia="en-IE"/>
              </w:rPr>
            </w:pPr>
            <w:r w:rsidRPr="006700C5">
              <w:rPr>
                <w:rFonts w:ascii="Open Sans" w:eastAsia="Times New Roman" w:hAnsi="Open Sans" w:cs="Open Sans"/>
                <w:i/>
                <w:iCs/>
                <w:color w:val="757575"/>
                <w:sz w:val="18"/>
                <w:szCs w:val="18"/>
                <w:lang w:val="en-IE" w:eastAsia="en-IE"/>
              </w:rPr>
              <w:t>0-1 kms</w:t>
            </w:r>
          </w:p>
        </w:tc>
      </w:tr>
    </w:tbl>
    <w:p w14:paraId="6EB53725" w14:textId="620BA336" w:rsidR="006700C5" w:rsidRDefault="006700C5" w:rsidP="00513F48">
      <w:pPr>
        <w:pStyle w:val="NormalWeb"/>
        <w:spacing w:after="0"/>
        <w:rPr>
          <w:rFonts w:ascii="Open Sans" w:hAnsi="Open Sans" w:cs="Open Sans"/>
          <w:color w:val="444444"/>
          <w:sz w:val="21"/>
          <w:szCs w:val="21"/>
        </w:rPr>
      </w:pPr>
    </w:p>
    <w:p w14:paraId="73813737" w14:textId="1A73BF3F" w:rsidR="00946AF0" w:rsidRDefault="00946AF0" w:rsidP="00513F48">
      <w:pPr>
        <w:pStyle w:val="NormalWeb"/>
        <w:spacing w:after="0"/>
        <w:rPr>
          <w:lang w:val="en-US"/>
        </w:rPr>
      </w:pPr>
      <w:r>
        <w:rPr>
          <w:rFonts w:ascii="Open Sans" w:hAnsi="Open Sans" w:cs="Open Sans"/>
          <w:color w:val="444444"/>
          <w:sz w:val="21"/>
          <w:szCs w:val="21"/>
        </w:rPr>
        <w:t>We can visualize the different categories this way:</w:t>
      </w:r>
    </w:p>
    <w:p w14:paraId="1C3A86ED" w14:textId="77777777" w:rsidR="00946AF0" w:rsidRPr="00946AF0" w:rsidRDefault="00946AF0">
      <w:pPr>
        <w:rPr>
          <w:lang w:val="en-IE"/>
        </w:rPr>
      </w:pPr>
    </w:p>
    <w:p w14:paraId="25A21FD3" w14:textId="6840E267" w:rsidR="00FE69CE" w:rsidRDefault="00FE69CE">
      <w:r>
        <w:rPr>
          <w:noProof/>
        </w:rPr>
        <w:drawing>
          <wp:inline distT="0" distB="0" distL="0" distR="0" wp14:anchorId="675133C5" wp14:editId="6291AB6F">
            <wp:extent cx="5760720" cy="12945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94591"/>
                    </a:xfrm>
                    <a:prstGeom prst="rect">
                      <a:avLst/>
                    </a:prstGeom>
                    <a:noFill/>
                    <a:ln>
                      <a:noFill/>
                    </a:ln>
                  </pic:spPr>
                </pic:pic>
              </a:graphicData>
            </a:graphic>
          </wp:inline>
        </w:drawing>
      </w:r>
    </w:p>
    <w:p w14:paraId="60B7124B" w14:textId="77777777" w:rsidR="00946AF0" w:rsidRDefault="00946AF0">
      <w:pPr>
        <w:rPr>
          <w:rFonts w:ascii="Open Sans" w:eastAsia="Times New Roman" w:hAnsi="Open Sans" w:cs="Open Sans"/>
          <w:color w:val="444444"/>
          <w:sz w:val="21"/>
          <w:szCs w:val="21"/>
          <w:lang w:val="en-IE" w:eastAsia="en-IE"/>
        </w:rPr>
      </w:pPr>
    </w:p>
    <w:p w14:paraId="74EBF1C2" w14:textId="0F28BAAD" w:rsidR="00946AF0" w:rsidRDefault="00057240">
      <w:p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GIS tools like ArcGIS</w:t>
      </w:r>
      <w:r w:rsidR="003A54BF">
        <w:rPr>
          <w:rFonts w:ascii="Open Sans" w:eastAsia="Times New Roman" w:hAnsi="Open Sans" w:cs="Open Sans"/>
          <w:color w:val="444444"/>
          <w:sz w:val="21"/>
          <w:szCs w:val="21"/>
          <w:lang w:val="en-IE" w:eastAsia="en-IE"/>
        </w:rPr>
        <w:t xml:space="preserve"> pro</w:t>
      </w:r>
      <w:r w:rsidR="003A54BF">
        <w:rPr>
          <w:rStyle w:val="FootnoteReference"/>
          <w:rFonts w:ascii="Open Sans" w:eastAsia="Times New Roman" w:hAnsi="Open Sans" w:cs="Open Sans"/>
          <w:color w:val="444444"/>
          <w:sz w:val="21"/>
          <w:szCs w:val="21"/>
          <w:lang w:val="en-IE" w:eastAsia="en-IE"/>
        </w:rPr>
        <w:footnoteReference w:id="1"/>
      </w:r>
      <w:r>
        <w:rPr>
          <w:rFonts w:ascii="Open Sans" w:eastAsia="Times New Roman" w:hAnsi="Open Sans" w:cs="Open Sans"/>
          <w:color w:val="444444"/>
          <w:sz w:val="21"/>
          <w:szCs w:val="21"/>
          <w:lang w:val="en-IE" w:eastAsia="en-IE"/>
        </w:rPr>
        <w:t>, QGIS</w:t>
      </w:r>
      <w:r w:rsidR="003A54BF">
        <w:rPr>
          <w:rStyle w:val="FootnoteReference"/>
          <w:rFonts w:ascii="Open Sans" w:eastAsia="Times New Roman" w:hAnsi="Open Sans" w:cs="Open Sans"/>
          <w:color w:val="444444"/>
          <w:sz w:val="21"/>
          <w:szCs w:val="21"/>
          <w:lang w:val="en-IE" w:eastAsia="en-IE"/>
        </w:rPr>
        <w:footnoteReference w:id="2"/>
      </w:r>
      <w:r>
        <w:rPr>
          <w:rFonts w:ascii="Open Sans" w:eastAsia="Times New Roman" w:hAnsi="Open Sans" w:cs="Open Sans"/>
          <w:color w:val="444444"/>
          <w:sz w:val="21"/>
          <w:szCs w:val="21"/>
          <w:lang w:val="en-IE" w:eastAsia="en-IE"/>
        </w:rPr>
        <w:t xml:space="preserve"> and others make it possible to do the calculations. A full calculation does however require many operations in sequence. This opens up for human errors.</w:t>
      </w:r>
    </w:p>
    <w:p w14:paraId="5150874D" w14:textId="07936F69" w:rsidR="00057240" w:rsidRDefault="00057240">
      <w:p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Both ArcGIS and QGIS makes it possible to establish procedure sequencing systems named respectively model builder and graphical modeler. As of now SAWE only provides support for FME from Safe software.</w:t>
      </w:r>
    </w:p>
    <w:p w14:paraId="3E25D1C2" w14:textId="2386DA37" w:rsidR="00057240" w:rsidRPr="003A54BF" w:rsidRDefault="003A54BF">
      <w:pPr>
        <w:rPr>
          <w:rFonts w:ascii="Open Sans" w:eastAsia="Times New Roman" w:hAnsi="Open Sans" w:cs="Open Sans"/>
          <w:b/>
          <w:color w:val="444444"/>
          <w:sz w:val="21"/>
          <w:szCs w:val="21"/>
          <w:lang w:val="en-IE" w:eastAsia="en-IE"/>
        </w:rPr>
      </w:pPr>
      <w:r w:rsidRPr="003A54BF">
        <w:rPr>
          <w:rFonts w:ascii="Open Sans" w:eastAsia="Times New Roman" w:hAnsi="Open Sans" w:cs="Open Sans"/>
          <w:b/>
          <w:color w:val="444444"/>
          <w:sz w:val="21"/>
          <w:szCs w:val="21"/>
          <w:lang w:val="en-IE" w:eastAsia="en-IE"/>
        </w:rPr>
        <w:t>Processing</w:t>
      </w:r>
    </w:p>
    <w:p w14:paraId="076E416E" w14:textId="40968974" w:rsidR="003A54BF" w:rsidRDefault="003A54BF">
      <w:p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The processing is done using the file wilderness_analysis.fmw available in this repository. The file can be downloaded. With relevant source files the calculation will give the user an analysis of Tanzania using OpenStreetMap data downloaded in shapefile format from Geofabrik.de</w:t>
      </w:r>
      <w:r>
        <w:rPr>
          <w:rStyle w:val="FootnoteReference"/>
          <w:rFonts w:ascii="Open Sans" w:eastAsia="Times New Roman" w:hAnsi="Open Sans" w:cs="Open Sans"/>
          <w:color w:val="444444"/>
          <w:sz w:val="21"/>
          <w:szCs w:val="21"/>
          <w:lang w:val="en-IE" w:eastAsia="en-IE"/>
        </w:rPr>
        <w:footnoteReference w:id="3"/>
      </w:r>
      <w:r>
        <w:rPr>
          <w:rFonts w:ascii="Open Sans" w:eastAsia="Times New Roman" w:hAnsi="Open Sans" w:cs="Open Sans"/>
          <w:color w:val="444444"/>
          <w:sz w:val="21"/>
          <w:szCs w:val="21"/>
          <w:lang w:val="en-IE" w:eastAsia="en-IE"/>
        </w:rPr>
        <w:t>.</w:t>
      </w:r>
    </w:p>
    <w:p w14:paraId="1C8BEFEE" w14:textId="77777777" w:rsidR="003A54BF" w:rsidRDefault="003A54BF">
      <w:pPr>
        <w:rPr>
          <w:rFonts w:ascii="Open Sans" w:eastAsia="Times New Roman" w:hAnsi="Open Sans" w:cs="Open Sans"/>
          <w:color w:val="444444"/>
          <w:sz w:val="21"/>
          <w:szCs w:val="21"/>
          <w:lang w:val="en-IE" w:eastAsia="en-IE"/>
        </w:rPr>
      </w:pPr>
    </w:p>
    <w:p w14:paraId="3933F230" w14:textId="2F0F5CFE" w:rsidR="00946AF0" w:rsidRPr="003A54BF" w:rsidRDefault="003A54BF">
      <w:pPr>
        <w:rPr>
          <w:rFonts w:ascii="Open Sans" w:eastAsia="Times New Roman" w:hAnsi="Open Sans" w:cs="Open Sans"/>
          <w:b/>
          <w:color w:val="444444"/>
          <w:sz w:val="21"/>
          <w:szCs w:val="21"/>
          <w:lang w:val="en-IE" w:eastAsia="en-IE"/>
        </w:rPr>
      </w:pPr>
      <w:r w:rsidRPr="003A54BF">
        <w:rPr>
          <w:rFonts w:ascii="Open Sans" w:eastAsia="Times New Roman" w:hAnsi="Open Sans" w:cs="Open Sans"/>
          <w:b/>
          <w:color w:val="444444"/>
          <w:sz w:val="21"/>
          <w:szCs w:val="21"/>
          <w:lang w:val="en-IE" w:eastAsia="en-IE"/>
        </w:rPr>
        <w:lastRenderedPageBreak/>
        <w:t>Using the FME procedure</w:t>
      </w:r>
    </w:p>
    <w:p w14:paraId="7B6F4015" w14:textId="6A1F39AB" w:rsidR="003A54BF" w:rsidRDefault="003A54BF">
      <w:p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FME is commercial software. IT is unfortunate that the software does not have an entry level free version. They do however provide some free licenses for NGOs and others.</w:t>
      </w:r>
    </w:p>
    <w:p w14:paraId="4AF447D6" w14:textId="6580F41D" w:rsidR="003A54BF" w:rsidRDefault="003A54BF">
      <w:p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 xml:space="preserve">The </w:t>
      </w:r>
      <w:r w:rsidR="000D1ED9">
        <w:rPr>
          <w:rFonts w:ascii="Open Sans" w:eastAsia="Times New Roman" w:hAnsi="Open Sans" w:cs="Open Sans"/>
          <w:color w:val="444444"/>
          <w:sz w:val="21"/>
          <w:szCs w:val="21"/>
          <w:lang w:val="en-IE" w:eastAsia="en-IE"/>
        </w:rPr>
        <w:t>easiest</w:t>
      </w:r>
      <w:r>
        <w:rPr>
          <w:rFonts w:ascii="Open Sans" w:eastAsia="Times New Roman" w:hAnsi="Open Sans" w:cs="Open Sans"/>
          <w:color w:val="444444"/>
          <w:sz w:val="21"/>
          <w:szCs w:val="21"/>
          <w:lang w:val="en-IE" w:eastAsia="en-IE"/>
        </w:rPr>
        <w:t xml:space="preserve"> way to use the software is to do the following:</w:t>
      </w:r>
    </w:p>
    <w:p w14:paraId="33734F0E" w14:textId="6D687378" w:rsidR="003A54BF" w:rsidRPr="000D1ED9" w:rsidRDefault="003A54BF" w:rsidP="000D1ED9">
      <w:pPr>
        <w:pStyle w:val="ListParagraph"/>
        <w:numPr>
          <w:ilvl w:val="0"/>
          <w:numId w:val="1"/>
        </w:numPr>
        <w:rPr>
          <w:rFonts w:ascii="Open Sans" w:eastAsia="Times New Roman" w:hAnsi="Open Sans" w:cs="Open Sans"/>
          <w:color w:val="444444"/>
          <w:sz w:val="21"/>
          <w:szCs w:val="21"/>
          <w:lang w:val="en-IE" w:eastAsia="en-IE"/>
        </w:rPr>
      </w:pPr>
      <w:r w:rsidRPr="000D1ED9">
        <w:rPr>
          <w:rFonts w:ascii="Open Sans" w:eastAsia="Times New Roman" w:hAnsi="Open Sans" w:cs="Open Sans"/>
          <w:color w:val="444444"/>
          <w:sz w:val="21"/>
          <w:szCs w:val="21"/>
          <w:lang w:val="en-IE" w:eastAsia="en-IE"/>
        </w:rPr>
        <w:t>Clone this repository</w:t>
      </w:r>
    </w:p>
    <w:p w14:paraId="5B22C651" w14:textId="726CE2B0" w:rsidR="003A54BF" w:rsidRDefault="003A54BF" w:rsidP="000D1ED9">
      <w:pPr>
        <w:pStyle w:val="ListParagraph"/>
        <w:numPr>
          <w:ilvl w:val="0"/>
          <w:numId w:val="1"/>
        </w:numPr>
        <w:rPr>
          <w:rFonts w:ascii="Open Sans" w:eastAsia="Times New Roman" w:hAnsi="Open Sans" w:cs="Open Sans"/>
          <w:color w:val="444444"/>
          <w:sz w:val="21"/>
          <w:szCs w:val="21"/>
          <w:lang w:val="en-IE" w:eastAsia="en-IE"/>
        </w:rPr>
      </w:pPr>
      <w:r w:rsidRPr="000D1ED9">
        <w:rPr>
          <w:rFonts w:ascii="Open Sans" w:eastAsia="Times New Roman" w:hAnsi="Open Sans" w:cs="Open Sans"/>
          <w:color w:val="444444"/>
          <w:sz w:val="21"/>
          <w:szCs w:val="21"/>
          <w:lang w:val="en-IE" w:eastAsia="en-IE"/>
        </w:rPr>
        <w:t xml:space="preserve">Download the latest version of the OSM files from Geofabrik. Unzip them and place them in the </w:t>
      </w:r>
      <w:r w:rsidR="000D1ED9">
        <w:rPr>
          <w:rFonts w:ascii="Open Sans" w:eastAsia="Times New Roman" w:hAnsi="Open Sans" w:cs="Open Sans"/>
          <w:color w:val="444444"/>
          <w:sz w:val="21"/>
          <w:szCs w:val="21"/>
          <w:lang w:val="en-IE" w:eastAsia="en-IE"/>
        </w:rPr>
        <w:t>folder sawe.git/data_in_osm/</w:t>
      </w:r>
    </w:p>
    <w:p w14:paraId="56417DE3" w14:textId="0BEC6DB0" w:rsidR="000D1ED9" w:rsidRDefault="00310BAE" w:rsidP="000D1ED9">
      <w:pPr>
        <w:pStyle w:val="ListParagraph"/>
        <w:numPr>
          <w:ilvl w:val="0"/>
          <w:numId w:val="1"/>
        </w:num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Make sure the</w:t>
      </w:r>
      <w:r w:rsidR="000D1ED9">
        <w:rPr>
          <w:rFonts w:ascii="Open Sans" w:eastAsia="Times New Roman" w:hAnsi="Open Sans" w:cs="Open Sans"/>
          <w:color w:val="444444"/>
          <w:sz w:val="21"/>
          <w:szCs w:val="21"/>
          <w:lang w:val="en-IE" w:eastAsia="en-IE"/>
        </w:rPr>
        <w:t xml:space="preserve"> source files </w:t>
      </w:r>
      <w:r>
        <w:rPr>
          <w:rFonts w:ascii="Open Sans" w:eastAsia="Times New Roman" w:hAnsi="Open Sans" w:cs="Open Sans"/>
          <w:color w:val="444444"/>
          <w:sz w:val="21"/>
          <w:szCs w:val="21"/>
          <w:lang w:val="en-IE" w:eastAsia="en-IE"/>
        </w:rPr>
        <w:t>are linked up.</w:t>
      </w:r>
    </w:p>
    <w:p w14:paraId="3677BB2D" w14:textId="12A5D4B9" w:rsidR="00310BAE" w:rsidRDefault="00310BAE" w:rsidP="000D1ED9">
      <w:pPr>
        <w:pStyle w:val="ListParagraph"/>
        <w:numPr>
          <w:ilvl w:val="0"/>
          <w:numId w:val="1"/>
        </w:num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Disable/enable the relevant encroachment sources.</w:t>
      </w:r>
    </w:p>
    <w:p w14:paraId="7EDE7A92" w14:textId="4C0AA297" w:rsidR="00310BAE" w:rsidRDefault="00310BAE" w:rsidP="000D1ED9">
      <w:pPr>
        <w:pStyle w:val="ListParagraph"/>
        <w:numPr>
          <w:ilvl w:val="0"/>
          <w:numId w:val="1"/>
        </w:num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Run the workspace.</w:t>
      </w:r>
    </w:p>
    <w:p w14:paraId="486224E3" w14:textId="01D0A975" w:rsidR="00310BAE" w:rsidRDefault="00310BAE" w:rsidP="00310BAE">
      <w:p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The full test data sets take around three hours with a decent laptop.</w:t>
      </w:r>
    </w:p>
    <w:p w14:paraId="04D9B438" w14:textId="77777777" w:rsidR="00310BAE" w:rsidRDefault="00310BAE" w:rsidP="00310BAE">
      <w:pPr>
        <w:rPr>
          <w:rFonts w:ascii="Open Sans" w:eastAsia="Times New Roman" w:hAnsi="Open Sans" w:cs="Open Sans"/>
          <w:b/>
          <w:color w:val="444444"/>
          <w:sz w:val="21"/>
          <w:szCs w:val="21"/>
          <w:lang w:val="en-IE" w:eastAsia="en-IE"/>
        </w:rPr>
      </w:pPr>
    </w:p>
    <w:p w14:paraId="00811799" w14:textId="3D01B06A" w:rsidR="00310BAE" w:rsidRPr="00310BAE" w:rsidRDefault="00310BAE" w:rsidP="00310BAE">
      <w:pPr>
        <w:rPr>
          <w:rFonts w:ascii="Open Sans" w:eastAsia="Times New Roman" w:hAnsi="Open Sans" w:cs="Open Sans"/>
          <w:b/>
          <w:color w:val="444444"/>
          <w:sz w:val="21"/>
          <w:szCs w:val="21"/>
          <w:lang w:val="en-IE" w:eastAsia="en-IE"/>
        </w:rPr>
      </w:pPr>
      <w:r w:rsidRPr="00310BAE">
        <w:rPr>
          <w:rFonts w:ascii="Open Sans" w:eastAsia="Times New Roman" w:hAnsi="Open Sans" w:cs="Open Sans"/>
          <w:b/>
          <w:color w:val="444444"/>
          <w:sz w:val="21"/>
          <w:szCs w:val="21"/>
          <w:lang w:val="en-IE" w:eastAsia="en-IE"/>
        </w:rPr>
        <w:t>Presenting the results</w:t>
      </w:r>
    </w:p>
    <w:p w14:paraId="1D64A1B3" w14:textId="635D1C95" w:rsidR="00310BAE" w:rsidRPr="00310BAE" w:rsidRDefault="00310BAE" w:rsidP="00310BAE">
      <w:pPr>
        <w:rPr>
          <w:rFonts w:ascii="Open Sans" w:eastAsia="Times New Roman" w:hAnsi="Open Sans" w:cs="Open Sans"/>
          <w:color w:val="444444"/>
          <w:sz w:val="21"/>
          <w:szCs w:val="21"/>
          <w:lang w:val="en-IE" w:eastAsia="en-IE"/>
        </w:rPr>
      </w:pPr>
      <w:r>
        <w:rPr>
          <w:rFonts w:ascii="Open Sans" w:eastAsia="Times New Roman" w:hAnsi="Open Sans" w:cs="Open Sans"/>
          <w:color w:val="444444"/>
          <w:sz w:val="21"/>
          <w:szCs w:val="21"/>
          <w:lang w:val="en-IE" w:eastAsia="en-IE"/>
        </w:rPr>
        <w:t>A QGIS presentation of the data is availab</w:t>
      </w:r>
      <w:r w:rsidR="0026201F">
        <w:rPr>
          <w:rFonts w:ascii="Open Sans" w:eastAsia="Times New Roman" w:hAnsi="Open Sans" w:cs="Open Sans"/>
          <w:color w:val="444444"/>
          <w:sz w:val="21"/>
          <w:szCs w:val="21"/>
          <w:lang w:val="en-IE" w:eastAsia="en-IE"/>
        </w:rPr>
        <w:t>le in the folder sawe.git/qgis/</w:t>
      </w:r>
      <w:bookmarkStart w:id="0" w:name="_GoBack"/>
      <w:bookmarkEnd w:id="0"/>
    </w:p>
    <w:p w14:paraId="776EA5E0" w14:textId="77777777" w:rsidR="00513F48" w:rsidRPr="003A54BF" w:rsidRDefault="00513F48">
      <w:pPr>
        <w:rPr>
          <w:lang w:val="en-IE"/>
        </w:rPr>
      </w:pPr>
    </w:p>
    <w:sectPr w:rsidR="00513F48" w:rsidRPr="003A54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96E3E" w14:textId="77777777" w:rsidR="00AD0B4B" w:rsidRDefault="00AD0B4B" w:rsidP="003A54BF">
      <w:pPr>
        <w:spacing w:after="0" w:line="240" w:lineRule="auto"/>
      </w:pPr>
      <w:r>
        <w:separator/>
      </w:r>
    </w:p>
  </w:endnote>
  <w:endnote w:type="continuationSeparator" w:id="0">
    <w:p w14:paraId="363F4226" w14:textId="77777777" w:rsidR="00AD0B4B" w:rsidRDefault="00AD0B4B" w:rsidP="003A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F266A" w14:textId="77777777" w:rsidR="00AD0B4B" w:rsidRDefault="00AD0B4B" w:rsidP="003A54BF">
      <w:pPr>
        <w:spacing w:after="0" w:line="240" w:lineRule="auto"/>
      </w:pPr>
      <w:r>
        <w:separator/>
      </w:r>
    </w:p>
  </w:footnote>
  <w:footnote w:type="continuationSeparator" w:id="0">
    <w:p w14:paraId="20B36D5F" w14:textId="77777777" w:rsidR="00AD0B4B" w:rsidRDefault="00AD0B4B" w:rsidP="003A54BF">
      <w:pPr>
        <w:spacing w:after="0" w:line="240" w:lineRule="auto"/>
      </w:pPr>
      <w:r>
        <w:continuationSeparator/>
      </w:r>
    </w:p>
  </w:footnote>
  <w:footnote w:id="1">
    <w:p w14:paraId="06A173FD" w14:textId="368B0AC3" w:rsidR="003A54BF" w:rsidRDefault="003A54BF">
      <w:pPr>
        <w:pStyle w:val="FootnoteText"/>
      </w:pPr>
      <w:r>
        <w:rPr>
          <w:rStyle w:val="FootnoteReference"/>
        </w:rPr>
        <w:footnoteRef/>
      </w:r>
      <w:r>
        <w:t xml:space="preserve"> </w:t>
      </w:r>
      <w:r w:rsidRPr="003A54BF">
        <w:t>https://pro.arcgis.com/en/pro-app/</w:t>
      </w:r>
    </w:p>
  </w:footnote>
  <w:footnote w:id="2">
    <w:p w14:paraId="288E3E8A" w14:textId="31C95489" w:rsidR="003A54BF" w:rsidRDefault="003A54BF">
      <w:pPr>
        <w:pStyle w:val="FootnoteText"/>
      </w:pPr>
      <w:r>
        <w:rPr>
          <w:rStyle w:val="FootnoteReference"/>
        </w:rPr>
        <w:footnoteRef/>
      </w:r>
      <w:r>
        <w:t xml:space="preserve"> https://www.qgis.org</w:t>
      </w:r>
    </w:p>
  </w:footnote>
  <w:footnote w:id="3">
    <w:p w14:paraId="6A23F896" w14:textId="029FEACB" w:rsidR="003A54BF" w:rsidRDefault="003A54BF">
      <w:pPr>
        <w:pStyle w:val="FootnoteText"/>
      </w:pPr>
      <w:r>
        <w:rPr>
          <w:rStyle w:val="FootnoteReference"/>
        </w:rPr>
        <w:footnoteRef/>
      </w:r>
      <w:r>
        <w:t xml:space="preserve"> </w:t>
      </w:r>
      <w:r w:rsidRPr="003A54BF">
        <w:t>https://download.geofabrik.de/africa/tanzania.html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74E3"/>
    <w:multiLevelType w:val="hybridMultilevel"/>
    <w:tmpl w:val="DC2CFD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C5"/>
    <w:rsid w:val="00057240"/>
    <w:rsid w:val="000D1ED9"/>
    <w:rsid w:val="0026201F"/>
    <w:rsid w:val="00310BAE"/>
    <w:rsid w:val="003A54BF"/>
    <w:rsid w:val="00513F48"/>
    <w:rsid w:val="006700C5"/>
    <w:rsid w:val="00946AF0"/>
    <w:rsid w:val="00AD0B4B"/>
    <w:rsid w:val="00C577C7"/>
    <w:rsid w:val="00DA10C5"/>
    <w:rsid w:val="00EB70B2"/>
    <w:rsid w:val="00F44D37"/>
    <w:rsid w:val="00FE69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7443"/>
  <w15:chartTrackingRefBased/>
  <w15:docId w15:val="{32D69E84-7687-496A-A273-02468C9A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F48"/>
    <w:pPr>
      <w:spacing w:before="100" w:beforeAutospacing="1" w:after="119" w:line="240" w:lineRule="auto"/>
    </w:pPr>
    <w:rPr>
      <w:rFonts w:ascii="Times New Roman" w:eastAsia="Times New Roman" w:hAnsi="Times New Roman" w:cs="Times New Roman"/>
      <w:sz w:val="24"/>
      <w:szCs w:val="24"/>
      <w:lang w:val="en-IE" w:eastAsia="en-IE"/>
    </w:rPr>
  </w:style>
  <w:style w:type="paragraph" w:styleId="HTMLAddress">
    <w:name w:val="HTML Address"/>
    <w:basedOn w:val="Normal"/>
    <w:link w:val="HTMLAddressChar"/>
    <w:uiPriority w:val="99"/>
    <w:semiHidden/>
    <w:unhideWhenUsed/>
    <w:rsid w:val="006700C5"/>
    <w:pPr>
      <w:spacing w:after="0" w:line="240" w:lineRule="auto"/>
    </w:pPr>
    <w:rPr>
      <w:rFonts w:ascii="Times New Roman" w:eastAsia="Times New Roman" w:hAnsi="Times New Roman" w:cs="Times New Roman"/>
      <w:i/>
      <w:iCs/>
      <w:sz w:val="24"/>
      <w:szCs w:val="24"/>
      <w:lang w:val="en-IE" w:eastAsia="en-IE"/>
    </w:rPr>
  </w:style>
  <w:style w:type="character" w:customStyle="1" w:styleId="HTMLAddressChar">
    <w:name w:val="HTML Address Char"/>
    <w:basedOn w:val="DefaultParagraphFont"/>
    <w:link w:val="HTMLAddress"/>
    <w:uiPriority w:val="99"/>
    <w:semiHidden/>
    <w:rsid w:val="006700C5"/>
    <w:rPr>
      <w:rFonts w:ascii="Times New Roman" w:eastAsia="Times New Roman" w:hAnsi="Times New Roman" w:cs="Times New Roman"/>
      <w:i/>
      <w:iCs/>
      <w:sz w:val="24"/>
      <w:szCs w:val="24"/>
      <w:lang w:val="en-IE" w:eastAsia="en-IE"/>
    </w:rPr>
  </w:style>
  <w:style w:type="paragraph" w:styleId="FootnoteText">
    <w:name w:val="footnote text"/>
    <w:basedOn w:val="Normal"/>
    <w:link w:val="FootnoteTextChar"/>
    <w:uiPriority w:val="99"/>
    <w:semiHidden/>
    <w:unhideWhenUsed/>
    <w:rsid w:val="003A54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54BF"/>
    <w:rPr>
      <w:sz w:val="20"/>
      <w:szCs w:val="20"/>
    </w:rPr>
  </w:style>
  <w:style w:type="character" w:styleId="FootnoteReference">
    <w:name w:val="footnote reference"/>
    <w:basedOn w:val="DefaultParagraphFont"/>
    <w:uiPriority w:val="99"/>
    <w:semiHidden/>
    <w:unhideWhenUsed/>
    <w:rsid w:val="003A54BF"/>
    <w:rPr>
      <w:vertAlign w:val="superscript"/>
    </w:rPr>
  </w:style>
  <w:style w:type="character" w:styleId="Hyperlink">
    <w:name w:val="Hyperlink"/>
    <w:basedOn w:val="DefaultParagraphFont"/>
    <w:uiPriority w:val="99"/>
    <w:unhideWhenUsed/>
    <w:rsid w:val="003A54BF"/>
    <w:rPr>
      <w:color w:val="0563C1" w:themeColor="hyperlink"/>
      <w:u w:val="single"/>
    </w:rPr>
  </w:style>
  <w:style w:type="character" w:styleId="UnresolvedMention">
    <w:name w:val="Unresolved Mention"/>
    <w:basedOn w:val="DefaultParagraphFont"/>
    <w:uiPriority w:val="99"/>
    <w:semiHidden/>
    <w:unhideWhenUsed/>
    <w:rsid w:val="003A54BF"/>
    <w:rPr>
      <w:color w:val="808080"/>
      <w:shd w:val="clear" w:color="auto" w:fill="E6E6E6"/>
    </w:rPr>
  </w:style>
  <w:style w:type="paragraph" w:styleId="ListParagraph">
    <w:name w:val="List Paragraph"/>
    <w:basedOn w:val="Normal"/>
    <w:uiPriority w:val="34"/>
    <w:qFormat/>
    <w:rsid w:val="000D1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1048">
      <w:bodyDiv w:val="1"/>
      <w:marLeft w:val="0"/>
      <w:marRight w:val="0"/>
      <w:marTop w:val="0"/>
      <w:marBottom w:val="0"/>
      <w:divBdr>
        <w:top w:val="none" w:sz="0" w:space="0" w:color="auto"/>
        <w:left w:val="none" w:sz="0" w:space="0" w:color="auto"/>
        <w:bottom w:val="none" w:sz="0" w:space="0" w:color="auto"/>
        <w:right w:val="none" w:sz="0" w:space="0" w:color="auto"/>
      </w:divBdr>
    </w:div>
    <w:div w:id="18812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70014-0533-4C38-84A1-C4896B0E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Ragnvald Larsen</dc:creator>
  <cp:keywords/>
  <dc:description/>
  <cp:lastModifiedBy>Ragnvald Larsen</cp:lastModifiedBy>
  <cp:revision>5</cp:revision>
  <dcterms:created xsi:type="dcterms:W3CDTF">2018-10-18T16:43:00Z</dcterms:created>
  <dcterms:modified xsi:type="dcterms:W3CDTF">2018-10-18T19:26:00Z</dcterms:modified>
</cp:coreProperties>
</file>