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4"/>
          <w:u w:val="none"/>
        </w:rPr>
        <w:t>Republic of the Philippines</w:t>
      </w:r>
    </w:p>
    <w:p>
      <w:pPr>
        <w:spacing w:before="0" w:after="40"/>
        <w:jc w:val="center"/>
      </w:pPr>
      <w:r>
        <w:rPr>
          <w:rFonts w:ascii="Calibri" w:hAnsi="Calibri"/>
          <w:b/>
          <w:i w:val="0"/>
          <w:sz w:val="26"/>
          <w:u w:val="none"/>
        </w:rPr>
        <w:t>Department of Education</w:t>
      </w:r>
    </w:p>
    <w:p>
      <w:pPr>
        <w:spacing w:before="0" w:after="40"/>
        <w:jc w:val="center"/>
      </w:pPr>
      <w:r>
        <w:rPr>
          <w:rFonts w:ascii="Calibri" w:hAnsi="Calibri"/>
          <w:b w:val="0"/>
          <w:i/>
          <w:sz w:val="21"/>
          <w:u w:val="none"/>
        </w:rPr>
        <w:t>Region VII - Central Visayas</w:t>
      </w:r>
    </w:p>
    <w:p>
      <w:pPr>
        <w:spacing w:before="0" w:after="40"/>
        <w:jc w:val="center"/>
      </w:pPr>
      <w:r>
        <w:rPr>
          <w:rFonts w:ascii="Calibri" w:hAnsi="Calibri"/>
          <w:b/>
          <w:i w:val="0"/>
          <w:sz w:val="22"/>
          <w:u w:val="none"/>
        </w:rPr>
        <w:t>SCHOOLS DIVISION OF MAGUIKAY ELEMENTARY SCHOOL</w:t>
      </w:r>
    </w:p>
    <w:p>
      <w:pPr>
        <w:spacing w:before="0" w:after="40"/>
        <w:jc w:val="center"/>
      </w:pPr>
      <w:r>
        <w:rPr>
          <w:rFonts w:ascii="Calibri" w:hAnsi="Calibri"/>
          <w:b/>
          <w:i w:val="0"/>
          <w:sz w:val="22"/>
          <w:u w:val="none"/>
        </w:rPr>
        <w:t>MAGUIKAY ELEMENTARY SCHOOL</w:t>
      </w:r>
    </w:p>
    <w:p>
      <w:pPr>
        <w:spacing w:before="80" w:after="120"/>
        <w:pBdr>
          <w:bottom w:val="single" w:sz="8" w:color="000000"/>
        </w:pBdr>
      </w:pPr>
    </w:p>
    <w:tbl>
      <w:tblPr>
        <w:tblW w:type="auto" w:w="0"/>
        <w:jc w:val="center"/>
        <w:tblLayout w:type="fixed"/>
        <w:tblLook w:firstColumn="1" w:firstRow="1" w:lastColumn="0" w:lastRow="0" w:noHBand="0" w:noVBand="1" w:val="04A0"/>
      </w:tblPr>
      <w:tblGrid>
        <w:gridCol w:w="4815"/>
        <w:gridCol w:w="4815"/>
      </w:tblGrid>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Name of Lesson</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Learning Area/s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English</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Designed by Teacher/s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Carl Ermac</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Designed for which Grade Level &amp; Section</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Grade 10</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No. of Sessions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Day 1 of 5</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Date of Lesson Delivery</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August 5, 2026</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References</w:t>
            </w:r>
          </w:p>
          <w:p>
            <w:pPr>
              <w:spacing w:before="0" w:after="20" w:line="240" w:lineRule="auto"/>
            </w:pPr>
            <w:r>
              <w:rPr>
                <w:rFonts w:ascii="Calibri" w:hAnsi="Calibri"/>
                <w:b w:val="0"/>
                <w:i/>
                <w:sz w:val="15"/>
                <w:u w:val="none"/>
              </w:rPr>
              <w:t>(books, websites, toolkits, etc.)</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DepEd Three-Term Budget of Works (BOW) SY 2026-2027</w:t>
              <w:br/>
            </w:r>
            <w:r>
              <w:br/>
            </w:r>
            <w:r>
              <w:rPr>
                <w:rFonts w:ascii="Calibri" w:hAnsi="Calibri"/>
                <w:b w:val="0"/>
                <w:i w:val="0"/>
                <w:sz w:val="20"/>
                <w:u w:val="none"/>
              </w:rPr>
              <w:t xml:space="preserve">DepEd Curriculum Guide – </w:t>
              <w:br/>
            </w:r>
            <w:r>
              <w:br/>
            </w:r>
            <w:r>
              <w:rPr>
                <w:rFonts w:ascii="Calibri" w:hAnsi="Calibri"/>
                <w:b w:val="0"/>
                <w:i w:val="0"/>
                <w:sz w:val="20"/>
                <w:u w:val="none"/>
              </w:rPr>
              <w:t>K to 12 Most Essential Learning Competencies (MELCs) with CG Codes</w:t>
              <w:br/>
            </w:r>
            <w:r>
              <w:br/>
            </w:r>
            <w:r>
              <w:rPr>
                <w:rFonts w:ascii="Calibri" w:hAnsi="Calibri"/>
                <w:b w:val="0"/>
                <w:i w:val="0"/>
                <w:sz w:val="20"/>
                <w:u w:val="none"/>
              </w:rPr>
              <w:t>DepEd Learning Portal (https://lrmds.deped.gov.ph/)</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sz w:val="20"/>
                <w:u w:val="none"/>
              </w:rPr>
              <w:t>Declaration of AI use</w:t>
            </w:r>
          </w:p>
          <w:p>
            <w:pPr>
              <w:spacing w:before="0" w:after="20" w:line="240" w:lineRule="auto"/>
            </w:pPr>
            <w:r>
              <w:rPr>
                <w:rFonts w:ascii="Calibri" w:hAnsi="Calibri"/>
                <w:b w:val="0"/>
                <w:i/>
                <w:sz w:val="15"/>
                <w:u w:val="none"/>
              </w:rPr>
              <w:t>Cite how AI was used in the formulation of the lesson plan.</w:t>
            </w:r>
            <w:r>
              <w:br/>
            </w:r>
            <w:r>
              <w:rPr>
                <w:rFonts w:ascii="Calibri" w:hAnsi="Calibri"/>
                <w:b w:val="0"/>
                <w:i/>
                <w:sz w:val="15"/>
                <w:u w:val="none"/>
              </w:rPr>
              <w:t>See DO 3 s. 2026 Annex-A</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This lesson plan was developed with the assistance of LAMDAG (AI) to help generate ideas, organize content, and improve clarity. The AI served only as a support tool; the teacher made all final decisions and takes full responsibility for the lesson's accuracy and implementation.</w:t>
            </w:r>
          </w:p>
        </w:tc>
      </w:tr>
      <w:tr>
        <w:tc>
          <w:tcPr>
            <w:tcW w:type="dxa" w:w="9576"/>
            <w:gridSpan w:val="2"/>
            <w:tcBorders>
              <w:top w:val="single" w:sz="4" w:color="000000" w:space="0"/>
              <w:left w:val="single" w:sz="4" w:color="000000" w:space="0"/>
              <w:bottom w:val="single" w:sz="4" w:color="000000" w:space="0"/>
              <w:right w:val="single" w:sz="4" w:color="000000" w:space="0"/>
            </w:tcBorders>
            <w:shd w:fill="BFBFBF" w:val="clear"/>
          </w:tcPr>
          <w:p>
            <w:pPr>
              <w:spacing w:before="0" w:after="20" w:line="240" w:lineRule="auto"/>
            </w:pPr>
            <w:r>
              <w:rPr>
                <w:rFonts w:ascii="Calibri" w:hAnsi="Calibri"/>
                <w:b/>
                <w:i w:val="0"/>
                <w:sz w:val="19"/>
                <w:u w:val="none"/>
              </w:rPr>
              <w:t>Intentions:</w:t>
            </w:r>
            <w:r>
              <w:rPr>
                <w:rFonts w:ascii="Calibri" w:hAnsi="Calibri"/>
                <w:b w:val="0"/>
                <w:i w:val="0"/>
                <w:sz w:val="19"/>
                <w:u w:val="none"/>
              </w:rPr>
              <w:t xml:space="preserve"> Meaningful learning experiences are anchored on how we frame them. Start by deciding what you want your learners to master by the end of the lesson – keep it clear and simple.</w:t>
            </w:r>
          </w:p>
          <w:p>
            <w:pPr>
              <w:spacing w:before="0" w:after="20" w:line="240" w:lineRule="auto"/>
            </w:pPr>
            <w:r>
              <w:rPr>
                <w:rFonts w:ascii="Calibri" w:hAnsi="Calibri"/>
                <w:b w:val="0"/>
                <w:i/>
                <w:sz w:val="18"/>
                <w:u w:val="none"/>
              </w:rPr>
              <w:t>Remember: understanding your learners’ evolving contexts and designing around it help ensure that your lessons connect with and are relevant to them.</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Learning Competency:</w:t>
            </w:r>
          </w:p>
          <w:p>
            <w:pPr>
              <w:spacing w:before="0" w:after="20" w:line="240" w:lineRule="auto"/>
            </w:pPr>
            <w:r>
              <w:rPr>
                <w:rFonts w:ascii="Calibri" w:hAnsi="Calibri"/>
                <w:b w:val="0"/>
                <w:i/>
                <w:sz w:val="15"/>
                <w:u w:val="none"/>
              </w:rPr>
              <w:t>Write the competency/ies from the curriculum that we are targeting, and the content or performance standards applicable to the sessions.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Analyze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w:t>
            </w:r>
            <w:r>
              <w:br/>
            </w:r>
            <w:r>
              <w:rPr>
                <w:rFonts w:ascii="Calibri" w:hAnsi="Calibri"/>
                <w:b w:val="0"/>
                <w:i w:val="0"/>
                <w:sz w:val="20"/>
                <w:u w:val="none"/>
              </w:rPr>
              <w:t>(EN10LIT-I-1)</w:t>
            </w:r>
            <w:r>
              <w:br/>
            </w:r>
            <w:r>
              <w:rPr>
                <w:rFonts w:ascii="Calibri" w:hAnsi="Calibri"/>
                <w:b w:val="0"/>
                <w:i w:val="0"/>
                <w:sz w:val="20"/>
                <w:u w:val="none"/>
              </w:rPr>
              <w:t>Content Standard: The learners demonstrate their multiliteracies and communicative competence in evaluating World literature (poetry, prose, and drama) for clarity of meaning, purpose, and target audience as a foundation for publishing original literary texts that reflect their expanding cultural identity.</w:t>
            </w:r>
            <w:r>
              <w:br/>
            </w:r>
            <w:r>
              <w:rPr>
                <w:rFonts w:ascii="Calibri" w:hAnsi="Calibri"/>
                <w:b w:val="0"/>
                <w:i w:val="0"/>
                <w:sz w:val="20"/>
                <w:u w:val="none"/>
              </w:rPr>
              <w:t>Performance Standard: The learners analyze the style, form, and features of World literature (poetry, prose, and drama); evaluate literary texts for clarity of meaning, purpose, and target audience; and compose and publish an original multimodal literary text (short film) that represents their meaning, purpose, and target audience, and reflects their expanding cultural identity.</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Learning Objectives:</w:t>
            </w:r>
          </w:p>
          <w:p>
            <w:pPr>
              <w:spacing w:before="0" w:after="20" w:line="240" w:lineRule="auto"/>
            </w:pPr>
            <w:r>
              <w:rPr>
                <w:rFonts w:ascii="Calibri" w:hAnsi="Calibri"/>
                <w:b w:val="0"/>
                <w:i/>
                <w:sz w:val="15"/>
                <w:u w:val="none"/>
              </w:rPr>
              <w:t>Write the smaller knowledge, skills, or tasks from the competency that the learners will work on and be able to show by the end of the sessions.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By the end of the lesson, learners will be able to:</w:t>
              <w:br/>
            </w:r>
            <w:r>
              <w:br/>
            </w:r>
            <w:r>
              <w:rPr>
                <w:rFonts w:ascii="Calibri" w:hAnsi="Calibri"/>
                <w:b w:val="0"/>
                <w:i w:val="0"/>
                <w:sz w:val="20"/>
                <w:u w:val="none"/>
              </w:rPr>
              <w:t>1. Analyze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with accuracy.</w:t>
              <w:br/>
            </w:r>
            <w:r>
              <w:br/>
            </w:r>
            <w:r>
              <w:rPr>
                <w:rFonts w:ascii="Calibri" w:hAnsi="Calibri"/>
                <w:b w:val="0"/>
                <w:i w:val="0"/>
                <w:sz w:val="20"/>
                <w:u w:val="none"/>
              </w:rPr>
              <w:t>2. Practice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in a structured task or activity.</w:t>
              <w:br/>
            </w:r>
            <w:r>
              <w:br/>
            </w:r>
            <w:r>
              <w:rPr>
                <w:rFonts w:ascii="Calibri" w:hAnsi="Calibri"/>
                <w:b w:val="0"/>
                <w:i w:val="0"/>
                <w:sz w:val="20"/>
                <w:u w:val="none"/>
              </w:rPr>
              <w:t>3. Create or present an output related to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and justify their choices.</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Learner Context:</w:t>
            </w:r>
          </w:p>
          <w:p>
            <w:pPr>
              <w:spacing w:before="0" w:after="20" w:line="240" w:lineRule="auto"/>
            </w:pPr>
            <w:r>
              <w:rPr>
                <w:rFonts w:ascii="Calibri" w:hAnsi="Calibri"/>
                <w:b w:val="0"/>
                <w:i/>
                <w:sz w:val="15"/>
                <w:u w:val="none"/>
              </w:rPr>
              <w:t>Write your observations of your learners, and how they have been performing or responding to learning experiences recently. Include strengths, interest, and possible barriers to learning.</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A capable group, but they can finish quickly, so tasks must require real thinking. Mix groups to spread strong leaders and differentiate so everyone is stretched but no one is lost.</w:t>
              <w:br/>
            </w:r>
            <w:r>
              <w:br/>
            </w:r>
            <w:r>
              <w:rPr>
                <w:rFonts w:ascii="Calibri" w:hAnsi="Calibri"/>
                <w:b w:val="0"/>
                <w:i w:val="0"/>
                <w:sz w:val="20"/>
                <w:u w:val="none"/>
              </w:rPr>
              <w:br/>
            </w:r>
            <w:r>
              <w:br/>
            </w:r>
            <w:r>
              <w:rPr>
                <w:rFonts w:ascii="Calibri" w:hAnsi="Calibri"/>
                <w:b w:val="0"/>
                <w:i w:val="0"/>
                <w:sz w:val="20"/>
                <w:u w:val="none"/>
              </w:rPr>
              <w:t>Lesson design is anchored on the content standard: The learners demonstrate their multiliteracies and communicative competence in evaluating World literature (poetry, prose, and drama) for clarity of meaning, purpose, and target audience as a foundation for publishing original literary texts that reflect their expanding cultural identity.</w:t>
            </w:r>
          </w:p>
        </w:tc>
      </w:tr>
      <w:tr>
        <w:tc>
          <w:tcPr>
            <w:tcW w:type="dxa" w:w="9576"/>
            <w:gridSpan w:val="2"/>
            <w:tcBorders>
              <w:top w:val="single" w:sz="4" w:color="000000" w:space="0"/>
              <w:left w:val="single" w:sz="4" w:color="000000" w:space="0"/>
              <w:bottom w:val="single" w:sz="4" w:color="000000" w:space="0"/>
              <w:right w:val="single" w:sz="4" w:color="000000" w:space="0"/>
            </w:tcBorders>
            <w:shd w:fill="BFBFBF" w:val="clear"/>
          </w:tcPr>
          <w:p>
            <w:pPr>
              <w:spacing w:before="0" w:after="20" w:line="240" w:lineRule="auto"/>
            </w:pPr>
            <w:r>
              <w:rPr>
                <w:rFonts w:ascii="Calibri" w:hAnsi="Calibri"/>
                <w:b/>
                <w:i w:val="0"/>
                <w:sz w:val="19"/>
                <w:u w:val="none"/>
              </w:rPr>
              <w:t>Learning Experience.</w:t>
            </w:r>
            <w:r>
              <w:rPr>
                <w:rFonts w:ascii="Calibri" w:hAnsi="Calibri"/>
                <w:b w:val="0"/>
                <w:i w:val="0"/>
                <w:sz w:val="19"/>
                <w:u w:val="none"/>
              </w:rPr>
              <w:t xml:space="preserve"> A learning experience is like a thoughtfully designed journey. Each activity and interaction build towards meaningful understanding and growth. Identify activities and interactions to help learner gain knowledge, skills, or understanding in a purposeful way.</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Pre-lesson:</w:t>
            </w:r>
          </w:p>
          <w:p>
            <w:pPr>
              <w:spacing w:before="0" w:after="20" w:line="240" w:lineRule="auto"/>
            </w:pPr>
            <w:r>
              <w:rPr>
                <w:rFonts w:ascii="Calibri" w:hAnsi="Calibri"/>
                <w:b w:val="0"/>
                <w:i/>
                <w:sz w:val="15"/>
                <w:u w:val="none"/>
              </w:rPr>
              <w:t>Describe how you will help the learners get ready for the lesson.</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Show a picture or one-line quote on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and ask learners to react; their answers lead naturally into the lesson.</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Flow:</w:t>
            </w:r>
          </w:p>
          <w:p>
            <w:pPr>
              <w:spacing w:before="0" w:after="20" w:line="240" w:lineRule="auto"/>
            </w:pPr>
            <w:r>
              <w:rPr>
                <w:rFonts w:ascii="Calibri" w:hAnsi="Calibri"/>
                <w:b w:val="0"/>
                <w:i/>
                <w:sz w:val="15"/>
                <w:u w:val="none"/>
              </w:rPr>
              <w:t>Describe the activities that you can implement in one or more sessions to meet the learning objectives.</w:t>
            </w:r>
            <w:r>
              <w:br/>
            </w:r>
            <w:r>
              <w:rPr>
                <w:rFonts w:ascii="Calibri" w:hAnsi="Calibri"/>
                <w:b w:val="0"/>
                <w:i/>
                <w:sz w:val="15"/>
                <w:u w:val="none"/>
              </w:rPr>
              <w:t>Apply the Learning Design Principles by thinking about how to:</w:t>
            </w:r>
            <w:r>
              <w:br/>
            </w:r>
            <w:r>
              <w:rPr>
                <w:rFonts w:ascii="Calibri" w:hAnsi="Calibri"/>
                <w:b w:val="0"/>
                <w:i/>
                <w:sz w:val="15"/>
                <w:u w:val="none"/>
              </w:rPr>
              <w:t>• make the objective clear for the learners</w:t>
            </w:r>
            <w:r>
              <w:br/>
            </w:r>
            <w:r>
              <w:rPr>
                <w:rFonts w:ascii="Calibri" w:hAnsi="Calibri"/>
                <w:b w:val="0"/>
                <w:i/>
                <w:sz w:val="15"/>
                <w:u w:val="none"/>
              </w:rPr>
              <w:t>• guide learners before letting them try the task on their own</w:t>
            </w:r>
            <w:r>
              <w:br/>
            </w:r>
            <w:r>
              <w:rPr>
                <w:rFonts w:ascii="Calibri" w:hAnsi="Calibri"/>
                <w:b w:val="0"/>
                <w:i/>
                <w:sz w:val="15"/>
                <w:u w:val="none"/>
              </w:rPr>
              <w:t>• check the state of learners’ well-being, understanding, and mastery over the lesson</w:t>
            </w:r>
            <w:r>
              <w:br/>
            </w:r>
            <w:r>
              <w:rPr>
                <w:rFonts w:ascii="Calibri" w:hAnsi="Calibri"/>
                <w:b w:val="0"/>
                <w:i/>
                <w:sz w:val="15"/>
                <w:u w:val="none"/>
              </w:rPr>
              <w:t>• connect today’s new concept to past competencies</w:t>
            </w:r>
            <w:r>
              <w:br/>
            </w:r>
            <w:r>
              <w:rPr>
                <w:rFonts w:ascii="Calibri" w:hAnsi="Calibri"/>
                <w:b w:val="0"/>
                <w:i/>
                <w:sz w:val="15"/>
                <w:u w:val="none"/>
              </w:rPr>
              <w:t>• encourage collaboration among learners</w:t>
            </w:r>
            <w:r>
              <w:br/>
            </w:r>
            <w:r>
              <w:rPr>
                <w:rFonts w:ascii="Calibri" w:hAnsi="Calibri"/>
                <w:b w:val="0"/>
                <w:i/>
                <w:sz w:val="15"/>
                <w:u w:val="none"/>
              </w:rPr>
              <w:t>• invite learners to reflect on why these matters to them</w:t>
            </w:r>
            <w:r>
              <w:br/>
            </w:r>
            <w:r>
              <w:rPr>
                <w:rFonts w:ascii="Calibri" w:hAnsi="Calibri"/>
                <w:b w:val="0"/>
                <w:i/>
                <w:sz w:val="15"/>
                <w:u w:val="none"/>
              </w:rPr>
              <w:t>• ensure inclusion for learner’s varied abilities, learning styles, and contexts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i w:val="0"/>
                <w:sz w:val="20"/>
                <w:u w:val="none"/>
              </w:rPr>
              <w:t>I — INTRODUCE</w:t>
            </w:r>
          </w:p>
          <w:p>
            <w:pPr>
              <w:spacing w:before="0" w:after="20" w:line="240" w:lineRule="auto"/>
            </w:pPr>
            <w:r>
              <w:rPr>
                <w:rFonts w:ascii="Calibri" w:hAnsi="Calibri"/>
                <w:b w:val="0"/>
                <w:i w:val="0"/>
                <w:sz w:val="20"/>
                <w:u w:val="none"/>
              </w:rPr>
              <w:t>1. 2 min — Motivate &amp; set the goal: A quick word-splash of key vocabulary on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State Objective 1: analyze literary texts as expressions of individual... in learner-friendly words.</w:t>
            </w:r>
          </w:p>
          <w:p>
            <w:pPr>
              <w:spacing w:before="0" w:after="20" w:line="240" w:lineRule="auto"/>
            </w:pPr>
            <w:r>
              <w:rPr>
                <w:rFonts w:ascii="Calibri" w:hAnsi="Calibri"/>
                <w:b/>
                <w:i w:val="0"/>
                <w:sz w:val="20"/>
                <w:u w:val="none"/>
              </w:rPr>
              <w:t>L — LEARN</w:t>
            </w:r>
          </w:p>
          <w:p>
            <w:pPr>
              <w:spacing w:before="0" w:after="20" w:line="240" w:lineRule="auto"/>
            </w:pPr>
            <w:r>
              <w:rPr>
                <w:rFonts w:ascii="Calibri" w:hAnsi="Calibri"/>
                <w:b w:val="0"/>
                <w:i w:val="0"/>
                <w:sz w:val="20"/>
                <w:u w:val="none"/>
              </w:rPr>
              <w:t>1. 8 min — Direct Instruction (Model): Read/model one example aloud, showing how to build the response. Keep it step-by-step and link each step back to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w:t>
              <w:br/>
            </w:r>
            <w:r>
              <w:br/>
            </w:r>
            <w:r>
              <w:rPr>
                <w:rFonts w:ascii="Calibri" w:hAnsi="Calibri"/>
                <w:b w:val="0"/>
                <w:i w:val="0"/>
                <w:sz w:val="20"/>
                <w:u w:val="none"/>
              </w:rPr>
              <w:t>2. 14 min — Guided Practice: Pairs build one example together using sentence starters i provide — this moves learners toward Objective 2: practice analyzing literary texts as expressions of....</w:t>
              <w:br/>
            </w:r>
            <w:r>
              <w:br/>
            </w:r>
            <w:r>
              <w:rPr>
                <w:rFonts w:ascii="Calibri" w:hAnsi="Calibri"/>
                <w:b w:val="0"/>
                <w:i w:val="0"/>
                <w:sz w:val="20"/>
                <w:u w:val="none"/>
              </w:rPr>
              <w:t>3. 6 min — Check for Understanding: A partner share plus a one-line written summary to confirm mastery before the Apply phase.</w:t>
            </w:r>
          </w:p>
          <w:p>
            <w:pPr>
              <w:spacing w:before="0" w:after="20" w:line="240" w:lineRule="auto"/>
            </w:pPr>
            <w:r>
              <w:rPr>
                <w:rFonts w:ascii="Calibri" w:hAnsi="Calibri"/>
                <w:b/>
                <w:i w:val="0"/>
                <w:sz w:val="20"/>
                <w:u w:val="none"/>
              </w:rPr>
              <w:t>A — APPLY</w:t>
            </w:r>
          </w:p>
          <w:p>
            <w:pPr>
              <w:spacing w:before="0" w:after="20" w:line="240" w:lineRule="auto"/>
            </w:pPr>
            <w:r>
              <w:rPr>
                <w:rFonts w:ascii="Calibri" w:hAnsi="Calibri"/>
                <w:b w:val="0"/>
                <w:i w:val="0"/>
                <w:sz w:val="20"/>
                <w:u w:val="none"/>
              </w:rPr>
              <w:t>1. 10 min — Apply: Groups retell, summarize, or perform a short piece on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 a structured task that demonstrates Objective 3: create or present an output related to....</w:t>
              <w:br/>
            </w:r>
            <w:r>
              <w:br/>
            </w:r>
            <w:r>
              <w:rPr>
                <w:rFonts w:ascii="Calibri" w:hAnsi="Calibri"/>
                <w:b w:val="0"/>
                <w:i w:val="0"/>
                <w:sz w:val="20"/>
                <w:u w:val="none"/>
              </w:rPr>
              <w:t>2. 5 min — Share &amp; feedback: groups present briefly; classmates give one positive comment and I connect outputs to real life.</w:t>
              <w:br/>
            </w:r>
            <w:r>
              <w:br/>
            </w:r>
            <w:r>
              <w:rPr>
                <w:rFonts w:ascii="Calibri" w:hAnsi="Calibri"/>
                <w:b w:val="0"/>
                <w:i w:val="0"/>
                <w:sz w:val="20"/>
                <w:u w:val="none"/>
              </w:rPr>
              <w:br/>
            </w:r>
            <w:r>
              <w:br/>
            </w:r>
            <w:r>
              <w:rPr>
                <w:rFonts w:ascii="Calibri" w:hAnsi="Calibri"/>
                <w:b w:val="0"/>
                <w:i w:val="0"/>
                <w:sz w:val="20"/>
                <w:u w:val="none"/>
              </w:rPr>
              <w:t>This activity leads learners toward the performance standard: The learners analyze the style, form, and features of World literature (poetry, prose, and drama); evaluate literary texts for clarity of meaning, purpose, and target audience; and compose and publish an original multimodal literary text (short film) that represents their meaning, purpose, and target audience, and reflects their expanding cultural identity.</w:t>
            </w:r>
          </w:p>
          <w:p>
            <w:pPr>
              <w:spacing w:before="0" w:after="20" w:line="240" w:lineRule="auto"/>
            </w:pPr>
            <w:r>
              <w:rPr>
                <w:rFonts w:ascii="Calibri" w:hAnsi="Calibri"/>
                <w:b/>
                <w:i w:val="0"/>
                <w:sz w:val="20"/>
                <w:u w:val="none"/>
              </w:rPr>
              <w:t>W — WRAP-UP</w:t>
            </w:r>
          </w:p>
          <w:p>
            <w:pPr>
              <w:spacing w:before="0" w:after="20" w:line="240" w:lineRule="auto"/>
            </w:pPr>
            <w:r>
              <w:rPr>
                <w:rFonts w:ascii="Calibri" w:hAnsi="Calibri"/>
                <w:b w:val="0"/>
                <w:i w:val="0"/>
                <w:sz w:val="20"/>
                <w:u w:val="none"/>
              </w:rPr>
              <w:t>1. 2 min — Generalize: learners summarize the key idea of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in one sentence; a few share aloud.</w:t>
              <w:br/>
            </w:r>
            <w:r>
              <w:br/>
            </w:r>
            <w:r>
              <w:rPr>
                <w:rFonts w:ascii="Calibri" w:hAnsi="Calibri"/>
                <w:b w:val="0"/>
                <w:i w:val="0"/>
                <w:sz w:val="20"/>
                <w:u w:val="none"/>
              </w:rPr>
              <w:t>2. 3 min — Reflect &amp; exit slip: 3-2-1 (3 learned, 2 interesting, 1 question); collect slips to plan the next session.</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Learning Resources:</w:t>
            </w:r>
          </w:p>
          <w:p>
            <w:pPr>
              <w:spacing w:before="0" w:after="20" w:line="240" w:lineRule="auto"/>
            </w:pPr>
            <w:r>
              <w:rPr>
                <w:rFonts w:ascii="Calibri" w:hAnsi="Calibri"/>
                <w:b w:val="0"/>
                <w:i/>
                <w:sz w:val="15"/>
                <w:u w:val="none"/>
              </w:rPr>
              <w:t>List down the learning resources that will help you reach your objectives. Ensure that they are available and inclusive. Include options and alternatives in case of emergencies.</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DepEd Learning Portal (https://lrmds.deped.gov.ph/)</w:t>
              <w:br/>
            </w:r>
            <w:r>
              <w:br/>
            </w:r>
            <w:r>
              <w:rPr>
                <w:rFonts w:ascii="Calibri" w:hAnsi="Calibri"/>
                <w:b w:val="0"/>
                <w:i w:val="0"/>
                <w:sz w:val="20"/>
                <w:u w:val="none"/>
              </w:rPr>
              <w:t>Case studies and current-event articles on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w:t>
              <w:br/>
            </w:r>
            <w:r>
              <w:br/>
            </w:r>
            <w:r>
              <w:rPr>
                <w:rFonts w:ascii="Calibri" w:hAnsi="Calibri"/>
                <w:b w:val="0"/>
                <w:i w:val="0"/>
                <w:sz w:val="20"/>
                <w:u w:val="none"/>
              </w:rPr>
              <w:t>Research references and online databases</w:t>
              <w:br/>
            </w:r>
            <w:r>
              <w:br/>
            </w:r>
            <w:r>
              <w:rPr>
                <w:rFonts w:ascii="Calibri" w:hAnsi="Calibri"/>
                <w:b w:val="0"/>
                <w:i w:val="0"/>
                <w:sz w:val="20"/>
                <w:u w:val="none"/>
              </w:rPr>
              <w:t>Task cards and scenario prompts for group work</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Opportunities for integration:</w:t>
            </w:r>
          </w:p>
          <w:p>
            <w:pPr>
              <w:spacing w:before="0" w:after="20" w:line="240" w:lineRule="auto"/>
            </w:pPr>
            <w:r>
              <w:rPr>
                <w:rFonts w:ascii="Calibri" w:hAnsi="Calibri"/>
                <w:b w:val="0"/>
                <w:i/>
                <w:sz w:val="15"/>
                <w:u w:val="none"/>
              </w:rPr>
              <w:t>Write down any possibilities to meaningfully integrate another area, special topic or technology. Write N/A if none.</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Reading and Writing: learners use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when understanding stories, following instructions, and sharing their thoughts.</w:t>
            </w:r>
          </w:p>
        </w:tc>
      </w:tr>
      <w:tr>
        <w:tc>
          <w:tcPr>
            <w:tcW w:type="dxa" w:w="9576"/>
            <w:gridSpan w:val="2"/>
            <w:tcBorders>
              <w:top w:val="single" w:sz="4" w:color="000000" w:space="0"/>
              <w:left w:val="single" w:sz="4" w:color="000000" w:space="0"/>
              <w:bottom w:val="single" w:sz="4" w:color="000000" w:space="0"/>
              <w:right w:val="single" w:sz="4" w:color="000000" w:space="0"/>
            </w:tcBorders>
            <w:shd w:fill="BFBFBF" w:val="clear"/>
          </w:tcPr>
          <w:p>
            <w:pPr>
              <w:spacing w:before="0" w:after="20" w:line="240" w:lineRule="auto"/>
            </w:pPr>
            <w:r>
              <w:rPr>
                <w:rFonts w:ascii="Calibri" w:hAnsi="Calibri"/>
                <w:b/>
                <w:i w:val="0"/>
                <w:sz w:val="19"/>
                <w:u w:val="none"/>
              </w:rPr>
              <w:t>Assessment.</w:t>
            </w:r>
            <w:r>
              <w:rPr>
                <w:rFonts w:ascii="Calibri" w:hAnsi="Calibri"/>
                <w:b w:val="0"/>
                <w:i w:val="0"/>
                <w:sz w:val="19"/>
                <w:u w:val="none"/>
              </w:rPr>
              <w:t xml:space="preserve"> Assessment reveal what learners have gained and what they still need help with. These are helpful in providing you with information to guide your future instruction.</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Formative Assessment:</w:t>
            </w:r>
          </w:p>
          <w:p>
            <w:pPr>
              <w:spacing w:before="0" w:after="20" w:line="240" w:lineRule="auto"/>
            </w:pPr>
            <w:r>
              <w:rPr>
                <w:rFonts w:ascii="Calibri" w:hAnsi="Calibri"/>
                <w:b w:val="0"/>
                <w:i/>
                <w:sz w:val="15"/>
                <w:u w:val="none"/>
              </w:rPr>
              <w:t>Create a task, activity or questions to evaluate learning and provide feedback. Include ways for learners to ask for guidance or support. Remember to provide appropriate accommodation so all learners can demonstrate their understanding (e.g. varied response formats, small group options, visual or auditory support)</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Quick-write responses, group presentation quality, and exit slip analysis; colored cards (green/yellow/red) for real-time feedback; address misconceptions in real time.</w:t>
            </w:r>
          </w:p>
        </w:tc>
      </w:tr>
      <w:tr>
        <w:tc>
          <w:tcPr>
            <w:tcW w:type="dxa" w:w="9576"/>
            <w:gridSpan w:val="2"/>
            <w:tcBorders>
              <w:top w:val="single" w:sz="4" w:color="000000" w:space="0"/>
              <w:left w:val="single" w:sz="4" w:color="000000" w:space="0"/>
              <w:bottom w:val="single" w:sz="4" w:color="000000" w:space="0"/>
              <w:right w:val="single" w:sz="4" w:color="000000" w:space="0"/>
            </w:tcBorders>
            <w:shd w:fill="BFBFBF" w:val="clear"/>
          </w:tcPr>
          <w:p>
            <w:pPr>
              <w:spacing w:before="0" w:after="20" w:line="240" w:lineRule="auto"/>
            </w:pPr>
            <w:r>
              <w:rPr>
                <w:rFonts w:ascii="Calibri" w:hAnsi="Calibri"/>
                <w:b/>
                <w:i w:val="0"/>
                <w:sz w:val="19"/>
                <w:u w:val="none"/>
              </w:rPr>
              <w:t>Ways forward.</w:t>
            </w:r>
            <w:r>
              <w:rPr>
                <w:rFonts w:ascii="Calibri" w:hAnsi="Calibri"/>
                <w:b w:val="0"/>
                <w:i w:val="0"/>
                <w:sz w:val="19"/>
                <w:u w:val="none"/>
              </w:rPr>
              <w:t xml:space="preserve"> Meaningful learning can also happen beyond the classroom – for both learner and the teacher.</w:t>
            </w:r>
          </w:p>
          <w:p>
            <w:pPr>
              <w:spacing w:before="0" w:after="20" w:line="240" w:lineRule="auto"/>
            </w:pPr>
            <w:r>
              <w:rPr>
                <w:rFonts w:ascii="Calibri" w:hAnsi="Calibri"/>
                <w:b w:val="0"/>
                <w:i/>
                <w:sz w:val="18"/>
                <w:u w:val="none"/>
              </w:rPr>
              <w:t>Pause and reflect on what happened today.</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Extended learning opportunities:</w:t>
            </w:r>
          </w:p>
          <w:p>
            <w:pPr>
              <w:spacing w:before="0" w:after="20" w:line="240" w:lineRule="auto"/>
            </w:pPr>
            <w:r>
              <w:rPr>
                <w:rFonts w:ascii="Calibri" w:hAnsi="Calibri"/>
                <w:b w:val="0"/>
                <w:i/>
                <w:sz w:val="15"/>
                <w:u w:val="none"/>
              </w:rPr>
              <w:t>Suggest other learning experiences outside the classroom/class hours that learners may want to access to reinforce what they have learned, to spark their curiosities further, or that may provide them support in their areas of difficulty.</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Learners may explore analyzing literary texts as expressions of individual or communal values within: structural context conflict character vs. character a character vs. society character vs. nature/environment character vs. self b character c characterization d plot: in medias res e spectacle, dialogue, and music f rhyme and meter g diction h tone and mood i style j patterns and motifs k figures of speech and sound devices l point of view and narrative techniques m organic unity n sign and referent o binary opposition 2 biographical context 3 historical context 4 sociocultural context linguistic context deictic a speaker/narrator and place speaker/narrator and situation b co-text c collocation 6 psychological context at home through a simple investigation or family interview and share their findings in the next session.</w:t>
            </w:r>
          </w:p>
        </w:tc>
      </w:tr>
      <w:tr>
        <w:tc>
          <w:tcPr>
            <w:tcW w:type="dxa" w:w="3096"/>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sz w:val="20"/>
                <w:u w:val="single"/>
              </w:rPr>
              <w:t>Reflections:</w:t>
            </w:r>
          </w:p>
          <w:p>
            <w:pPr>
              <w:spacing w:before="0" w:after="20" w:line="240" w:lineRule="auto"/>
            </w:pPr>
            <w:r>
              <w:rPr>
                <w:rFonts w:ascii="Calibri" w:hAnsi="Calibri"/>
                <w:b w:val="0"/>
                <w:i/>
                <w:sz w:val="15"/>
                <w:u w:val="none"/>
              </w:rPr>
              <w:t>Think about what you need to change for the next session based on what happened today. Is there something learners are interested in exploring? Are there some things you would like to share with your co-teachers, parents, school leaders, about your classroom experience? What would you like your instructional coach to help you with?</w:t>
            </w:r>
          </w:p>
        </w:tc>
        <w:tc>
          <w:tcPr>
            <w:tcW w:type="dxa" w:w="6480"/>
            <w:tcBorders>
              <w:top w:val="single" w:sz="4" w:color="000000" w:space="0"/>
              <w:left w:val="single" w:sz="4" w:color="000000" w:space="0"/>
              <w:bottom w:val="single" w:sz="4" w:color="000000" w:space="0"/>
              <w:right w:val="single" w:sz="4" w:color="000000" w:space="0"/>
            </w:tcBorders>
          </w:tcPr>
          <w:p>
            <w:pPr>
              <w:spacing w:before="0" w:after="20" w:line="240" w:lineRule="auto"/>
            </w:pPr>
            <w:r>
              <w:rPr>
                <w:rFonts w:ascii="Calibri" w:hAnsi="Calibri"/>
                <w:b w:val="0"/>
                <w:i w:val="0"/>
                <w:sz w:val="20"/>
                <w:u w:val="none"/>
              </w:rPr>
              <w:t>—</w:t>
            </w:r>
          </w:p>
        </w:tc>
      </w:tr>
    </w:tbl>
    <w:p/>
    <w:tbl>
      <w:tblPr>
        <w:tblW w:type="auto" w:w="0"/>
        <w:jc w:val="center"/>
        <w:tblLook w:firstColumn="1" w:firstRow="1" w:lastColumn="0" w:lastRow="0" w:noHBand="0" w:noVBand="1" w:val="04A0"/>
      </w:tblPr>
      <w:tblGrid>
        <w:gridCol w:w="4815"/>
        <w:gridCol w:w="4815"/>
      </w:tblGrid>
      <w:tr>
        <w:tc>
          <w:tcPr>
            <w:tcW w:type="dxa" w:w="4815"/>
          </w:tcPr>
          <w:p>
            <w:pPr>
              <w:jc w:val="center"/>
            </w:pPr>
            <w:r>
              <w:rPr>
                <w:rFonts w:ascii="Calibri" w:hAnsi="Calibri"/>
                <w:b/>
                <w:sz w:val="20"/>
                <w:u w:val="none"/>
              </w:rPr>
              <w:t>Prepared by:</w:t>
            </w:r>
          </w:p>
        </w:tc>
        <w:tc>
          <w:tcPr>
            <w:tcW w:type="dxa" w:w="4815"/>
          </w:tcPr>
          <w:p>
            <w:pPr>
              <w:jc w:val="center"/>
            </w:pPr>
            <w:r>
              <w:rPr>
                <w:rFonts w:ascii="Calibri" w:hAnsi="Calibri"/>
                <w:b/>
                <w:sz w:val="20"/>
                <w:u w:val="none"/>
              </w:rPr>
              <w:t>Reviewed &amp; Checked by:</w:t>
            </w:r>
          </w:p>
        </w:tc>
      </w:tr>
      <w:tr>
        <w:tc>
          <w:tcPr>
            <w:tcW w:type="dxa" w:w="4815"/>
          </w:tcPr>
          <w:p>
            <w:pPr>
              <w:spacing w:before="120"/>
              <w:jc w:val="center"/>
            </w:pPr>
            <w:r>
              <w:rPr>
                <w:rFonts w:ascii="Calibri" w:hAnsi="Calibri"/>
                <w:b w:val="0"/>
                <w:sz w:val="20"/>
                <w:u w:val="single"/>
              </w:rPr>
              <w:t>Carl Ermac</w:t>
            </w:r>
          </w:p>
        </w:tc>
        <w:tc>
          <w:tcPr>
            <w:tcW w:type="dxa" w:w="4815"/>
          </w:tcPr>
          <w:p>
            <w:pPr>
              <w:spacing w:before="120"/>
              <w:jc w:val="center"/>
            </w:pPr>
            <w:r>
              <w:rPr>
                <w:rFonts w:ascii="Calibri" w:hAnsi="Calibri"/>
                <w:b w:val="0"/>
                <w:sz w:val="20"/>
                <w:u w:val="single"/>
              </w:rPr>
              <w:t xml:space="preserve"> </w:t>
            </w:r>
          </w:p>
        </w:tc>
      </w:tr>
      <w:tr>
        <w:tc>
          <w:tcPr>
            <w:tcW w:type="dxa" w:w="4815"/>
          </w:tcPr>
          <w:p>
            <w:pPr>
              <w:jc w:val="center"/>
            </w:pPr>
            <w:r>
              <w:rPr>
                <w:rFonts w:ascii="Calibri" w:hAnsi="Calibri"/>
                <w:b w:val="0"/>
                <w:sz w:val="20"/>
                <w:u w:val="none"/>
              </w:rPr>
              <w:t>Teacher</w:t>
            </w:r>
          </w:p>
        </w:tc>
        <w:tc>
          <w:tcPr>
            <w:tcW w:type="dxa" w:w="4815"/>
          </w:tcPr>
          <w:p>
            <w:pPr>
              <w:jc w:val="center"/>
            </w:pPr>
            <w:r>
              <w:rPr>
                <w:rFonts w:ascii="Calibri" w:hAnsi="Calibri"/>
                <w:b w:val="0"/>
                <w:sz w:val="20"/>
                <w:u w:val="none"/>
              </w:rPr>
              <w:t>School Head / Principal</w:t>
            </w:r>
          </w:p>
        </w:tc>
      </w:tr>
    </w:tbl>
    <w:sectPr w:rsidR="00FC693F" w:rsidRPr="0006063C" w:rsidSect="00034616">
      <w:pgSz w:w="12240" w:h="18720"/>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