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6956BA" w14:textId="77777777" w:rsidR="007740C0" w:rsidRPr="007740C0" w:rsidRDefault="007740C0" w:rsidP="007740C0">
      <w:r w:rsidRPr="007740C0">
        <w:t>Technical migration analysis — schema verified against live dev DB</w:t>
      </w:r>
    </w:p>
    <w:p w14:paraId="5330E799" w14:textId="77777777" w:rsidR="007740C0" w:rsidRPr="007740C0" w:rsidRDefault="007740C0" w:rsidP="007740C0">
      <w:pPr>
        <w:rPr>
          <w:b/>
          <w:bCs/>
        </w:rPr>
      </w:pPr>
      <w:r w:rsidRPr="007740C0">
        <w:rPr>
          <w:b/>
          <w:bCs/>
        </w:rPr>
        <w:t xml:space="preserve">Rebuilding </w:t>
      </w:r>
      <w:proofErr w:type="spellStart"/>
      <w:r w:rsidRPr="007740C0">
        <w:rPr>
          <w:b/>
          <w:bCs/>
        </w:rPr>
        <w:t>eKYC</w:t>
      </w:r>
      <w:proofErr w:type="spellEnd"/>
      <w:r w:rsidRPr="007740C0">
        <w:rPr>
          <w:b/>
          <w:bCs/>
        </w:rPr>
        <w:t xml:space="preserve"> on .NET</w:t>
      </w:r>
    </w:p>
    <w:p w14:paraId="1631C41B" w14:textId="77777777" w:rsidR="007740C0" w:rsidRPr="007740C0" w:rsidRDefault="007740C0" w:rsidP="007740C0">
      <w:r w:rsidRPr="007740C0">
        <w:t xml:space="preserve">A read of the current </w:t>
      </w:r>
      <w:proofErr w:type="spellStart"/>
      <w:r w:rsidRPr="007740C0">
        <w:t>Vaadin</w:t>
      </w:r>
      <w:proofErr w:type="spellEnd"/>
      <w:r w:rsidRPr="007740C0">
        <w:t xml:space="preserve"> 7 / Spring / SQL Server platform, what it actually does, and what a big</w:t>
      </w:r>
      <w:r w:rsidRPr="007740C0">
        <w:noBreakHyphen/>
        <w:t xml:space="preserve">bang rewrite to </w:t>
      </w:r>
      <w:proofErr w:type="spellStart"/>
      <w:r w:rsidRPr="007740C0">
        <w:t>Blazor</w:t>
      </w:r>
      <w:proofErr w:type="spellEnd"/>
      <w:r w:rsidRPr="007740C0">
        <w:t xml:space="preserve"> Server (with a React comparison build) on Dapper looks like.</w:t>
      </w:r>
    </w:p>
    <w:p w14:paraId="0E3D0C64" w14:textId="77777777" w:rsidR="007740C0" w:rsidRPr="007740C0" w:rsidRDefault="007740C0" w:rsidP="007740C0">
      <w:proofErr w:type="spellStart"/>
      <w:r w:rsidRPr="007740C0">
        <w:t>SubjectTrikord</w:t>
      </w:r>
      <w:proofErr w:type="spellEnd"/>
      <w:r w:rsidRPr="007740C0">
        <w:t xml:space="preserve"> e</w:t>
      </w:r>
      <w:r w:rsidRPr="007740C0">
        <w:noBreakHyphen/>
        <w:t>KYC (HBOR)</w:t>
      </w:r>
    </w:p>
    <w:p w14:paraId="5710FDDE" w14:textId="77777777" w:rsidR="007740C0" w:rsidRPr="007740C0" w:rsidRDefault="007740C0" w:rsidP="007740C0">
      <w:r w:rsidRPr="007740C0">
        <w:t xml:space="preserve">Current </w:t>
      </w:r>
      <w:proofErr w:type="spellStart"/>
      <w:r w:rsidRPr="007740C0">
        <w:t>stackJava</w:t>
      </w:r>
      <w:proofErr w:type="spellEnd"/>
      <w:r w:rsidRPr="007740C0">
        <w:t xml:space="preserve"> 7 · </w:t>
      </w:r>
      <w:proofErr w:type="spellStart"/>
      <w:r w:rsidRPr="007740C0">
        <w:t>Vaadin</w:t>
      </w:r>
      <w:proofErr w:type="spellEnd"/>
      <w:r w:rsidRPr="007740C0">
        <w:t xml:space="preserve"> 7.4 · Spring Boot 2.2</w:t>
      </w:r>
    </w:p>
    <w:p w14:paraId="41E80790" w14:textId="77777777" w:rsidR="007740C0" w:rsidRPr="007740C0" w:rsidRDefault="007740C0" w:rsidP="007740C0">
      <w:r w:rsidRPr="007740C0">
        <w:t xml:space="preserve">Target stack.NET 10 · Dapper · </w:t>
      </w:r>
      <w:proofErr w:type="spellStart"/>
      <w:r w:rsidRPr="007740C0">
        <w:t>Blazor</w:t>
      </w:r>
      <w:proofErr w:type="spellEnd"/>
      <w:r w:rsidRPr="007740C0">
        <w:t xml:space="preserve"> Server + React · SQL Server (unchanged)</w:t>
      </w:r>
    </w:p>
    <w:p w14:paraId="7D76F7F3" w14:textId="77777777" w:rsidR="007740C0" w:rsidRPr="007740C0" w:rsidRDefault="007740C0" w:rsidP="007740C0">
      <w:r w:rsidRPr="007740C0">
        <w:t>Scope read291 Java files + live dev DB: 50 tables, 42 views</w:t>
      </w:r>
    </w:p>
    <w:p w14:paraId="581320E8" w14:textId="77777777" w:rsidR="007740C0" w:rsidRPr="007740C0" w:rsidRDefault="007740C0" w:rsidP="007740C0">
      <w:r w:rsidRPr="007740C0">
        <w:t>01</w:t>
      </w:r>
    </w:p>
    <w:p w14:paraId="70E25964" w14:textId="77777777" w:rsidR="007740C0" w:rsidRPr="007740C0" w:rsidRDefault="007740C0" w:rsidP="007740C0">
      <w:pPr>
        <w:rPr>
          <w:b/>
          <w:bCs/>
        </w:rPr>
      </w:pPr>
      <w:r w:rsidRPr="007740C0">
        <w:rPr>
          <w:b/>
          <w:bCs/>
        </w:rPr>
        <w:t>What the current system is</w:t>
      </w:r>
    </w:p>
    <w:p w14:paraId="368C4DDC" w14:textId="77777777" w:rsidR="007740C0" w:rsidRPr="007740C0" w:rsidRDefault="007740C0" w:rsidP="007740C0">
      <w:r w:rsidRPr="007740C0">
        <w:t>e</w:t>
      </w:r>
      <w:r w:rsidRPr="007740C0">
        <w:noBreakHyphen/>
        <w:t>KYC is a case</w:t>
      </w:r>
      <w:r w:rsidRPr="007740C0">
        <w:noBreakHyphen/>
        <w:t>management application for anti</w:t>
      </w:r>
      <w:r w:rsidRPr="007740C0">
        <w:noBreakHyphen/>
        <w:t>money</w:t>
      </w:r>
      <w:r w:rsidRPr="007740C0">
        <w:noBreakHyphen/>
        <w:t>laundering and counter</w:t>
      </w:r>
      <w:r w:rsidRPr="007740C0">
        <w:noBreakHyphen/>
        <w:t>terrorist</w:t>
      </w:r>
      <w:r w:rsidRPr="007740C0">
        <w:noBreakHyphen/>
        <w:t>financing compliance — not a simple CRUD app. It onboards and periodically re</w:t>
      </w:r>
      <w:r w:rsidRPr="007740C0">
        <w:noBreakHyphen/>
        <w:t>screens bank clients (individuals, legal entities, and correspondent banks), tracks beneficial ownership, scores risk, screens against sanctions lists, and enforces a multi</w:t>
      </w:r>
      <w:r w:rsidRPr="007740C0">
        <w:noBreakHyphen/>
        <w:t>step approval workflow before a client is considered active.</w:t>
      </w:r>
    </w:p>
    <w:p w14:paraId="3F93C691" w14:textId="77777777" w:rsidR="007740C0" w:rsidRPr="007740C0" w:rsidRDefault="007740C0" w:rsidP="007740C0">
      <w:pPr>
        <w:rPr>
          <w:b/>
          <w:bCs/>
        </w:rPr>
      </w:pPr>
      <w:r w:rsidRPr="007740C0">
        <w:rPr>
          <w:b/>
          <w:bCs/>
        </w:rPr>
        <w:t>Stack as built</w:t>
      </w:r>
    </w:p>
    <w:tbl>
      <w:tblPr>
        <w:tblW w:w="11700" w:type="dxa"/>
        <w:tblCellMar>
          <w:top w:w="15" w:type="dxa"/>
          <w:left w:w="15" w:type="dxa"/>
          <w:bottom w:w="15" w:type="dxa"/>
          <w:right w:w="15" w:type="dxa"/>
        </w:tblCellMar>
        <w:tblLook w:val="04A0" w:firstRow="1" w:lastRow="0" w:firstColumn="1" w:lastColumn="0" w:noHBand="0" w:noVBand="1"/>
      </w:tblPr>
      <w:tblGrid>
        <w:gridCol w:w="1498"/>
        <w:gridCol w:w="6262"/>
        <w:gridCol w:w="3940"/>
      </w:tblGrid>
      <w:tr w:rsidR="007740C0" w:rsidRPr="007740C0" w14:paraId="0D42303D" w14:textId="77777777" w:rsidTr="007740C0">
        <w:tc>
          <w:tcPr>
            <w:tcW w:w="0" w:type="auto"/>
            <w:tcBorders>
              <w:bottom w:val="single" w:sz="6" w:space="0" w:color="2A373A"/>
            </w:tcBorders>
            <w:tcMar>
              <w:top w:w="120" w:type="dxa"/>
              <w:left w:w="0" w:type="dxa"/>
              <w:bottom w:w="120" w:type="dxa"/>
              <w:right w:w="210" w:type="dxa"/>
            </w:tcMar>
            <w:vAlign w:val="center"/>
            <w:hideMark/>
          </w:tcPr>
          <w:p w14:paraId="233573C2" w14:textId="77777777" w:rsidR="007740C0" w:rsidRPr="007740C0" w:rsidRDefault="007740C0" w:rsidP="007740C0">
            <w:r w:rsidRPr="007740C0">
              <w:t>Layer</w:t>
            </w:r>
          </w:p>
        </w:tc>
        <w:tc>
          <w:tcPr>
            <w:tcW w:w="0" w:type="auto"/>
            <w:tcBorders>
              <w:bottom w:val="single" w:sz="6" w:space="0" w:color="2A373A"/>
            </w:tcBorders>
            <w:tcMar>
              <w:top w:w="120" w:type="dxa"/>
              <w:left w:w="0" w:type="dxa"/>
              <w:bottom w:w="120" w:type="dxa"/>
              <w:right w:w="210" w:type="dxa"/>
            </w:tcMar>
            <w:vAlign w:val="center"/>
            <w:hideMark/>
          </w:tcPr>
          <w:p w14:paraId="54A68D1A" w14:textId="77777777" w:rsidR="007740C0" w:rsidRPr="007740C0" w:rsidRDefault="007740C0" w:rsidP="007740C0">
            <w:r w:rsidRPr="007740C0">
              <w:t>Technology</w:t>
            </w:r>
          </w:p>
        </w:tc>
        <w:tc>
          <w:tcPr>
            <w:tcW w:w="0" w:type="auto"/>
            <w:tcBorders>
              <w:bottom w:val="single" w:sz="6" w:space="0" w:color="2A373A"/>
            </w:tcBorders>
            <w:tcMar>
              <w:top w:w="120" w:type="dxa"/>
              <w:left w:w="0" w:type="dxa"/>
              <w:bottom w:w="120" w:type="dxa"/>
              <w:right w:w="210" w:type="dxa"/>
            </w:tcMar>
            <w:vAlign w:val="center"/>
            <w:hideMark/>
          </w:tcPr>
          <w:p w14:paraId="147FFE0F" w14:textId="77777777" w:rsidR="007740C0" w:rsidRPr="007740C0" w:rsidRDefault="007740C0" w:rsidP="007740C0">
            <w:r w:rsidRPr="007740C0">
              <w:t>Note</w:t>
            </w:r>
          </w:p>
        </w:tc>
      </w:tr>
      <w:tr w:rsidR="007740C0" w:rsidRPr="007740C0" w14:paraId="638A8C61" w14:textId="77777777" w:rsidTr="007740C0">
        <w:tc>
          <w:tcPr>
            <w:tcW w:w="0" w:type="auto"/>
            <w:tcBorders>
              <w:bottom w:val="single" w:sz="6" w:space="0" w:color="2A373A"/>
            </w:tcBorders>
            <w:tcMar>
              <w:top w:w="150" w:type="dxa"/>
              <w:left w:w="0" w:type="dxa"/>
              <w:bottom w:w="150" w:type="dxa"/>
              <w:right w:w="210" w:type="dxa"/>
            </w:tcMar>
            <w:hideMark/>
          </w:tcPr>
          <w:p w14:paraId="3F413CC6" w14:textId="77777777" w:rsidR="007740C0" w:rsidRPr="007740C0" w:rsidRDefault="007740C0" w:rsidP="007740C0">
            <w:r w:rsidRPr="007740C0">
              <w:t>UI</w:t>
            </w:r>
          </w:p>
        </w:tc>
        <w:tc>
          <w:tcPr>
            <w:tcW w:w="0" w:type="auto"/>
            <w:tcBorders>
              <w:bottom w:val="single" w:sz="6" w:space="0" w:color="2A373A"/>
            </w:tcBorders>
            <w:tcMar>
              <w:top w:w="150" w:type="dxa"/>
              <w:left w:w="0" w:type="dxa"/>
              <w:bottom w:w="150" w:type="dxa"/>
              <w:right w:w="210" w:type="dxa"/>
            </w:tcMar>
            <w:hideMark/>
          </w:tcPr>
          <w:p w14:paraId="44C53CA4" w14:textId="77777777" w:rsidR="007740C0" w:rsidRPr="007740C0" w:rsidRDefault="007740C0" w:rsidP="007740C0">
            <w:proofErr w:type="spellStart"/>
            <w:r w:rsidRPr="007740C0">
              <w:t>Vaadin</w:t>
            </w:r>
            <w:proofErr w:type="spellEnd"/>
            <w:r w:rsidRPr="007740C0">
              <w:t xml:space="preserve"> 7.4.2 (server</w:t>
            </w:r>
            <w:r w:rsidRPr="007740C0">
              <w:noBreakHyphen/>
              <w:t xml:space="preserve">side, GWT </w:t>
            </w:r>
            <w:proofErr w:type="spellStart"/>
            <w:r w:rsidRPr="007740C0">
              <w:t>widgetset</w:t>
            </w:r>
            <w:proofErr w:type="spellEnd"/>
            <w:r w:rsidRPr="007740C0">
              <w:t>)</w:t>
            </w:r>
          </w:p>
        </w:tc>
        <w:tc>
          <w:tcPr>
            <w:tcW w:w="0" w:type="auto"/>
            <w:tcBorders>
              <w:bottom w:val="single" w:sz="6" w:space="0" w:color="2A373A"/>
            </w:tcBorders>
            <w:tcMar>
              <w:top w:w="150" w:type="dxa"/>
              <w:left w:w="0" w:type="dxa"/>
              <w:bottom w:w="150" w:type="dxa"/>
              <w:right w:w="210" w:type="dxa"/>
            </w:tcMar>
            <w:hideMark/>
          </w:tcPr>
          <w:p w14:paraId="5DB428B5" w14:textId="77777777" w:rsidR="007740C0" w:rsidRPr="007740C0" w:rsidRDefault="007740C0" w:rsidP="007740C0">
            <w:r w:rsidRPr="007740C0">
              <w:t>End</w:t>
            </w:r>
            <w:r w:rsidRPr="007740C0">
              <w:noBreakHyphen/>
              <w:t>of</w:t>
            </w:r>
            <w:r w:rsidRPr="007740C0">
              <w:noBreakHyphen/>
              <w:t xml:space="preserve">life since 2019; compiled </w:t>
            </w:r>
            <w:proofErr w:type="spellStart"/>
            <w:r w:rsidRPr="007740C0">
              <w:t>widgetset</w:t>
            </w:r>
            <w:proofErr w:type="spellEnd"/>
            <w:r w:rsidRPr="007740C0">
              <w:t>, not a modern SPA</w:t>
            </w:r>
          </w:p>
        </w:tc>
      </w:tr>
      <w:tr w:rsidR="007740C0" w:rsidRPr="007740C0" w14:paraId="180568EE" w14:textId="77777777" w:rsidTr="007740C0">
        <w:tc>
          <w:tcPr>
            <w:tcW w:w="0" w:type="auto"/>
            <w:tcBorders>
              <w:bottom w:val="single" w:sz="6" w:space="0" w:color="2A373A"/>
            </w:tcBorders>
            <w:tcMar>
              <w:top w:w="150" w:type="dxa"/>
              <w:left w:w="0" w:type="dxa"/>
              <w:bottom w:w="150" w:type="dxa"/>
              <w:right w:w="210" w:type="dxa"/>
            </w:tcMar>
            <w:hideMark/>
          </w:tcPr>
          <w:p w14:paraId="55386344" w14:textId="77777777" w:rsidR="007740C0" w:rsidRPr="007740C0" w:rsidRDefault="007740C0" w:rsidP="007740C0">
            <w:r w:rsidRPr="007740C0">
              <w:t>App container</w:t>
            </w:r>
          </w:p>
        </w:tc>
        <w:tc>
          <w:tcPr>
            <w:tcW w:w="0" w:type="auto"/>
            <w:tcBorders>
              <w:bottom w:val="single" w:sz="6" w:space="0" w:color="2A373A"/>
            </w:tcBorders>
            <w:tcMar>
              <w:top w:w="150" w:type="dxa"/>
              <w:left w:w="0" w:type="dxa"/>
              <w:bottom w:w="150" w:type="dxa"/>
              <w:right w:w="210" w:type="dxa"/>
            </w:tcMar>
            <w:hideMark/>
          </w:tcPr>
          <w:p w14:paraId="6F451578" w14:textId="77777777" w:rsidR="007740C0" w:rsidRPr="007740C0" w:rsidRDefault="007740C0" w:rsidP="007740C0">
            <w:r w:rsidRPr="007740C0">
              <w:t>Spring Boot 2.2.1 / Spring 4, deployed as WAR under Tomcat/Jetty</w:t>
            </w:r>
          </w:p>
        </w:tc>
        <w:tc>
          <w:tcPr>
            <w:tcW w:w="0" w:type="auto"/>
            <w:tcBorders>
              <w:bottom w:val="single" w:sz="6" w:space="0" w:color="2A373A"/>
            </w:tcBorders>
            <w:tcMar>
              <w:top w:w="150" w:type="dxa"/>
              <w:left w:w="0" w:type="dxa"/>
              <w:bottom w:w="150" w:type="dxa"/>
              <w:right w:w="210" w:type="dxa"/>
            </w:tcMar>
            <w:hideMark/>
          </w:tcPr>
          <w:p w14:paraId="4855A0C4" w14:textId="77777777" w:rsidR="007740C0" w:rsidRPr="007740C0" w:rsidRDefault="007740C0" w:rsidP="007740C0"/>
        </w:tc>
      </w:tr>
      <w:tr w:rsidR="007740C0" w:rsidRPr="007740C0" w14:paraId="0F97C7E9" w14:textId="77777777" w:rsidTr="007740C0">
        <w:tc>
          <w:tcPr>
            <w:tcW w:w="0" w:type="auto"/>
            <w:tcBorders>
              <w:bottom w:val="single" w:sz="6" w:space="0" w:color="2A373A"/>
            </w:tcBorders>
            <w:tcMar>
              <w:top w:w="150" w:type="dxa"/>
              <w:left w:w="0" w:type="dxa"/>
              <w:bottom w:w="150" w:type="dxa"/>
              <w:right w:w="210" w:type="dxa"/>
            </w:tcMar>
            <w:hideMark/>
          </w:tcPr>
          <w:p w14:paraId="22973141" w14:textId="77777777" w:rsidR="007740C0" w:rsidRPr="007740C0" w:rsidRDefault="007740C0" w:rsidP="007740C0">
            <w:r w:rsidRPr="007740C0">
              <w:t>Data access</w:t>
            </w:r>
          </w:p>
        </w:tc>
        <w:tc>
          <w:tcPr>
            <w:tcW w:w="0" w:type="auto"/>
            <w:tcBorders>
              <w:bottom w:val="single" w:sz="6" w:space="0" w:color="2A373A"/>
            </w:tcBorders>
            <w:tcMar>
              <w:top w:w="150" w:type="dxa"/>
              <w:left w:w="0" w:type="dxa"/>
              <w:bottom w:w="150" w:type="dxa"/>
              <w:right w:w="210" w:type="dxa"/>
            </w:tcMar>
            <w:hideMark/>
          </w:tcPr>
          <w:p w14:paraId="1D494655" w14:textId="77777777" w:rsidR="007740C0" w:rsidRPr="007740C0" w:rsidRDefault="007740C0" w:rsidP="007740C0">
            <w:proofErr w:type="spellStart"/>
            <w:r w:rsidRPr="007740C0">
              <w:t>Vaadin</w:t>
            </w:r>
            <w:proofErr w:type="spellEnd"/>
            <w:r w:rsidRPr="007740C0">
              <w:t> </w:t>
            </w:r>
            <w:proofErr w:type="spellStart"/>
            <w:r w:rsidRPr="007740C0">
              <w:t>SQLContainer</w:t>
            </w:r>
            <w:proofErr w:type="spellEnd"/>
            <w:r w:rsidRPr="007740C0">
              <w:t> + hand</w:t>
            </w:r>
            <w:r w:rsidRPr="007740C0">
              <w:noBreakHyphen/>
              <w:t>rolled </w:t>
            </w:r>
            <w:proofErr w:type="spellStart"/>
            <w:r w:rsidRPr="007740C0">
              <w:t>TkDatabase</w:t>
            </w:r>
            <w:proofErr w:type="spellEnd"/>
            <w:r w:rsidRPr="007740C0">
              <w:t> JDBC helper</w:t>
            </w:r>
          </w:p>
        </w:tc>
        <w:tc>
          <w:tcPr>
            <w:tcW w:w="0" w:type="auto"/>
            <w:tcBorders>
              <w:bottom w:val="single" w:sz="6" w:space="0" w:color="2A373A"/>
            </w:tcBorders>
            <w:tcMar>
              <w:top w:w="150" w:type="dxa"/>
              <w:left w:w="0" w:type="dxa"/>
              <w:bottom w:w="150" w:type="dxa"/>
              <w:right w:w="210" w:type="dxa"/>
            </w:tcMar>
            <w:hideMark/>
          </w:tcPr>
          <w:p w14:paraId="1F1BFBCE" w14:textId="77777777" w:rsidR="007740C0" w:rsidRPr="007740C0" w:rsidRDefault="007740C0" w:rsidP="007740C0">
            <w:r w:rsidRPr="007740C0">
              <w:t>No repository layer — DB tables are bound straight into UI grids</w:t>
            </w:r>
          </w:p>
        </w:tc>
      </w:tr>
      <w:tr w:rsidR="007740C0" w:rsidRPr="007740C0" w14:paraId="034A597C" w14:textId="77777777" w:rsidTr="007740C0">
        <w:tc>
          <w:tcPr>
            <w:tcW w:w="0" w:type="auto"/>
            <w:tcBorders>
              <w:bottom w:val="single" w:sz="6" w:space="0" w:color="2A373A"/>
            </w:tcBorders>
            <w:tcMar>
              <w:top w:w="150" w:type="dxa"/>
              <w:left w:w="0" w:type="dxa"/>
              <w:bottom w:w="150" w:type="dxa"/>
              <w:right w:w="210" w:type="dxa"/>
            </w:tcMar>
            <w:hideMark/>
          </w:tcPr>
          <w:p w14:paraId="4CDCE05A" w14:textId="77777777" w:rsidR="007740C0" w:rsidRPr="007740C0" w:rsidRDefault="007740C0" w:rsidP="007740C0">
            <w:r w:rsidRPr="007740C0">
              <w:t>Database</w:t>
            </w:r>
          </w:p>
        </w:tc>
        <w:tc>
          <w:tcPr>
            <w:tcW w:w="0" w:type="auto"/>
            <w:tcBorders>
              <w:bottom w:val="single" w:sz="6" w:space="0" w:color="2A373A"/>
            </w:tcBorders>
            <w:tcMar>
              <w:top w:w="150" w:type="dxa"/>
              <w:left w:w="0" w:type="dxa"/>
              <w:bottom w:w="150" w:type="dxa"/>
              <w:right w:w="210" w:type="dxa"/>
            </w:tcMar>
            <w:hideMark/>
          </w:tcPr>
          <w:p w14:paraId="5097CB10" w14:textId="77777777" w:rsidR="007740C0" w:rsidRPr="007740C0" w:rsidRDefault="007740C0" w:rsidP="007740C0">
            <w:r w:rsidRPr="007740C0">
              <w:t>Microsoft SQL Server (JDBC via sqljdbc4)</w:t>
            </w:r>
          </w:p>
        </w:tc>
        <w:tc>
          <w:tcPr>
            <w:tcW w:w="0" w:type="auto"/>
            <w:tcBorders>
              <w:bottom w:val="single" w:sz="6" w:space="0" w:color="2A373A"/>
            </w:tcBorders>
            <w:tcMar>
              <w:top w:w="150" w:type="dxa"/>
              <w:left w:w="0" w:type="dxa"/>
              <w:bottom w:w="150" w:type="dxa"/>
              <w:right w:w="210" w:type="dxa"/>
            </w:tcMar>
            <w:hideMark/>
          </w:tcPr>
          <w:p w14:paraId="6A561401" w14:textId="77777777" w:rsidR="007740C0" w:rsidRPr="007740C0" w:rsidRDefault="007740C0" w:rsidP="007740C0">
            <w:r w:rsidRPr="007740C0">
              <w:t>Croatian</w:t>
            </w:r>
            <w:r w:rsidRPr="007740C0">
              <w:noBreakHyphen/>
              <w:t>abbreviated table/column names throughout</w:t>
            </w:r>
          </w:p>
        </w:tc>
      </w:tr>
      <w:tr w:rsidR="007740C0" w:rsidRPr="007740C0" w14:paraId="0FC84E52" w14:textId="77777777" w:rsidTr="007740C0">
        <w:tc>
          <w:tcPr>
            <w:tcW w:w="0" w:type="auto"/>
            <w:tcBorders>
              <w:bottom w:val="single" w:sz="6" w:space="0" w:color="2A373A"/>
            </w:tcBorders>
            <w:tcMar>
              <w:top w:w="150" w:type="dxa"/>
              <w:left w:w="0" w:type="dxa"/>
              <w:bottom w:w="150" w:type="dxa"/>
              <w:right w:w="210" w:type="dxa"/>
            </w:tcMar>
            <w:hideMark/>
          </w:tcPr>
          <w:p w14:paraId="5657ABD5" w14:textId="77777777" w:rsidR="007740C0" w:rsidRPr="007740C0" w:rsidRDefault="007740C0" w:rsidP="007740C0">
            <w:r w:rsidRPr="007740C0">
              <w:t>Auth</w:t>
            </w:r>
          </w:p>
        </w:tc>
        <w:tc>
          <w:tcPr>
            <w:tcW w:w="0" w:type="auto"/>
            <w:tcBorders>
              <w:bottom w:val="single" w:sz="6" w:space="0" w:color="2A373A"/>
            </w:tcBorders>
            <w:tcMar>
              <w:top w:w="150" w:type="dxa"/>
              <w:left w:w="0" w:type="dxa"/>
              <w:bottom w:w="150" w:type="dxa"/>
              <w:right w:w="210" w:type="dxa"/>
            </w:tcMar>
            <w:hideMark/>
          </w:tcPr>
          <w:p w14:paraId="7C67F6A6" w14:textId="77777777" w:rsidR="007740C0" w:rsidRPr="007740C0" w:rsidRDefault="007740C0" w:rsidP="007740C0">
            <w:r w:rsidRPr="007740C0">
              <w:t>SPNEGO/Kerberos (Windows</w:t>
            </w:r>
            <w:r w:rsidRPr="007740C0">
              <w:noBreakHyphen/>
              <w:t>integrated SSO against AD) with a username/password fallback path</w:t>
            </w:r>
          </w:p>
        </w:tc>
        <w:tc>
          <w:tcPr>
            <w:tcW w:w="0" w:type="auto"/>
            <w:tcBorders>
              <w:bottom w:val="single" w:sz="6" w:space="0" w:color="2A373A"/>
            </w:tcBorders>
            <w:tcMar>
              <w:top w:w="150" w:type="dxa"/>
              <w:left w:w="0" w:type="dxa"/>
              <w:bottom w:w="150" w:type="dxa"/>
              <w:right w:w="210" w:type="dxa"/>
            </w:tcMar>
            <w:hideMark/>
          </w:tcPr>
          <w:p w14:paraId="3B6E4134" w14:textId="77777777" w:rsidR="007740C0" w:rsidRPr="007740C0" w:rsidRDefault="007740C0" w:rsidP="007740C0">
            <w:r w:rsidRPr="007740C0">
              <w:t>Two web.xml/Spring config variants ship side</w:t>
            </w:r>
            <w:r w:rsidRPr="007740C0">
              <w:noBreakHyphen/>
              <w:t>by</w:t>
            </w:r>
            <w:r w:rsidRPr="007740C0">
              <w:noBreakHyphen/>
              <w:t>side (with/without Kerberos)</w:t>
            </w:r>
          </w:p>
        </w:tc>
      </w:tr>
      <w:tr w:rsidR="007740C0" w:rsidRPr="007740C0" w14:paraId="0BB18B5C" w14:textId="77777777" w:rsidTr="007740C0">
        <w:tc>
          <w:tcPr>
            <w:tcW w:w="0" w:type="auto"/>
            <w:tcBorders>
              <w:bottom w:val="single" w:sz="6" w:space="0" w:color="2A373A"/>
            </w:tcBorders>
            <w:tcMar>
              <w:top w:w="150" w:type="dxa"/>
              <w:left w:w="0" w:type="dxa"/>
              <w:bottom w:w="150" w:type="dxa"/>
              <w:right w:w="210" w:type="dxa"/>
            </w:tcMar>
            <w:hideMark/>
          </w:tcPr>
          <w:p w14:paraId="12715EE2" w14:textId="77777777" w:rsidR="007740C0" w:rsidRPr="007740C0" w:rsidRDefault="007740C0" w:rsidP="007740C0">
            <w:r w:rsidRPr="007740C0">
              <w:lastRenderedPageBreak/>
              <w:t>Integrations</w:t>
            </w:r>
          </w:p>
        </w:tc>
        <w:tc>
          <w:tcPr>
            <w:tcW w:w="0" w:type="auto"/>
            <w:tcBorders>
              <w:bottom w:val="single" w:sz="6" w:space="0" w:color="2A373A"/>
            </w:tcBorders>
            <w:tcMar>
              <w:top w:w="150" w:type="dxa"/>
              <w:left w:w="0" w:type="dxa"/>
              <w:bottom w:w="150" w:type="dxa"/>
              <w:right w:w="210" w:type="dxa"/>
            </w:tcMar>
            <w:hideMark/>
          </w:tcPr>
          <w:p w14:paraId="2251B555" w14:textId="77777777" w:rsidR="007740C0" w:rsidRPr="007740C0" w:rsidRDefault="007740C0" w:rsidP="007740C0">
            <w:r w:rsidRPr="007740C0">
              <w:t>SSRS report rendering, a SharePoint document service, a sanctions</w:t>
            </w:r>
            <w:r w:rsidRPr="007740C0">
              <w:noBreakHyphen/>
              <w:t>screening API, a periodic feed from an upstream client</w:t>
            </w:r>
            <w:r w:rsidRPr="007740C0">
              <w:noBreakHyphen/>
              <w:t>master system</w:t>
            </w:r>
          </w:p>
        </w:tc>
        <w:tc>
          <w:tcPr>
            <w:tcW w:w="0" w:type="auto"/>
            <w:tcBorders>
              <w:bottom w:val="single" w:sz="6" w:space="0" w:color="2A373A"/>
            </w:tcBorders>
            <w:tcMar>
              <w:top w:w="150" w:type="dxa"/>
              <w:left w:w="0" w:type="dxa"/>
              <w:bottom w:w="150" w:type="dxa"/>
              <w:right w:w="210" w:type="dxa"/>
            </w:tcMar>
            <w:hideMark/>
          </w:tcPr>
          <w:p w14:paraId="33A63E51" w14:textId="77777777" w:rsidR="007740C0" w:rsidRPr="007740C0" w:rsidRDefault="007740C0" w:rsidP="007740C0">
            <w:r w:rsidRPr="007740C0">
              <w:t>See §3</w:t>
            </w:r>
          </w:p>
        </w:tc>
      </w:tr>
    </w:tbl>
    <w:p w14:paraId="353C0B69" w14:textId="77777777" w:rsidR="007740C0" w:rsidRPr="007740C0" w:rsidRDefault="007740C0" w:rsidP="007740C0">
      <w:pPr>
        <w:rPr>
          <w:b/>
          <w:bCs/>
        </w:rPr>
      </w:pPr>
      <w:r w:rsidRPr="007740C0">
        <w:rPr>
          <w:b/>
          <w:bCs/>
        </w:rPr>
        <w:t>Size of the codebase</w:t>
      </w:r>
    </w:p>
    <w:tbl>
      <w:tblPr>
        <w:tblW w:w="11700" w:type="dxa"/>
        <w:tblCellMar>
          <w:top w:w="15" w:type="dxa"/>
          <w:left w:w="15" w:type="dxa"/>
          <w:bottom w:w="15" w:type="dxa"/>
          <w:right w:w="15" w:type="dxa"/>
        </w:tblCellMar>
        <w:tblLook w:val="04A0" w:firstRow="1" w:lastRow="0" w:firstColumn="1" w:lastColumn="0" w:noHBand="0" w:noVBand="1"/>
      </w:tblPr>
      <w:tblGrid>
        <w:gridCol w:w="3242"/>
        <w:gridCol w:w="694"/>
        <w:gridCol w:w="7764"/>
      </w:tblGrid>
      <w:tr w:rsidR="007740C0" w:rsidRPr="007740C0" w14:paraId="1474A4DB" w14:textId="77777777" w:rsidTr="007740C0">
        <w:tc>
          <w:tcPr>
            <w:tcW w:w="0" w:type="auto"/>
            <w:tcBorders>
              <w:bottom w:val="single" w:sz="6" w:space="0" w:color="2A373A"/>
            </w:tcBorders>
            <w:tcMar>
              <w:top w:w="120" w:type="dxa"/>
              <w:left w:w="0" w:type="dxa"/>
              <w:bottom w:w="120" w:type="dxa"/>
              <w:right w:w="210" w:type="dxa"/>
            </w:tcMar>
            <w:vAlign w:val="center"/>
            <w:hideMark/>
          </w:tcPr>
          <w:p w14:paraId="5B8E7D74" w14:textId="77777777" w:rsidR="007740C0" w:rsidRPr="007740C0" w:rsidRDefault="007740C0" w:rsidP="007740C0">
            <w:r w:rsidRPr="007740C0">
              <w:t>Package</w:t>
            </w:r>
          </w:p>
        </w:tc>
        <w:tc>
          <w:tcPr>
            <w:tcW w:w="0" w:type="auto"/>
            <w:tcBorders>
              <w:bottom w:val="single" w:sz="6" w:space="0" w:color="2A373A"/>
            </w:tcBorders>
            <w:tcMar>
              <w:top w:w="120" w:type="dxa"/>
              <w:left w:w="0" w:type="dxa"/>
              <w:bottom w:w="120" w:type="dxa"/>
              <w:right w:w="210" w:type="dxa"/>
            </w:tcMar>
            <w:vAlign w:val="center"/>
            <w:hideMark/>
          </w:tcPr>
          <w:p w14:paraId="046FC1D5" w14:textId="77777777" w:rsidR="007740C0" w:rsidRPr="007740C0" w:rsidRDefault="007740C0" w:rsidP="007740C0">
            <w:r w:rsidRPr="007740C0">
              <w:t>Files</w:t>
            </w:r>
          </w:p>
        </w:tc>
        <w:tc>
          <w:tcPr>
            <w:tcW w:w="0" w:type="auto"/>
            <w:tcBorders>
              <w:bottom w:val="single" w:sz="6" w:space="0" w:color="2A373A"/>
            </w:tcBorders>
            <w:tcMar>
              <w:top w:w="120" w:type="dxa"/>
              <w:left w:w="0" w:type="dxa"/>
              <w:bottom w:w="120" w:type="dxa"/>
              <w:right w:w="210" w:type="dxa"/>
            </w:tcMar>
            <w:vAlign w:val="center"/>
            <w:hideMark/>
          </w:tcPr>
          <w:p w14:paraId="4E6BB110" w14:textId="77777777" w:rsidR="007740C0" w:rsidRPr="007740C0" w:rsidRDefault="007740C0" w:rsidP="007740C0">
            <w:r w:rsidRPr="007740C0">
              <w:t>Role</w:t>
            </w:r>
          </w:p>
        </w:tc>
      </w:tr>
      <w:tr w:rsidR="007740C0" w:rsidRPr="007740C0" w14:paraId="2562103A" w14:textId="77777777" w:rsidTr="007740C0">
        <w:tc>
          <w:tcPr>
            <w:tcW w:w="0" w:type="auto"/>
            <w:tcBorders>
              <w:bottom w:val="single" w:sz="6" w:space="0" w:color="2A373A"/>
            </w:tcBorders>
            <w:tcMar>
              <w:top w:w="150" w:type="dxa"/>
              <w:left w:w="0" w:type="dxa"/>
              <w:bottom w:w="150" w:type="dxa"/>
              <w:right w:w="210" w:type="dxa"/>
            </w:tcMar>
            <w:hideMark/>
          </w:tcPr>
          <w:p w14:paraId="59E52A91" w14:textId="77777777" w:rsidR="007740C0" w:rsidRPr="007740C0" w:rsidRDefault="007740C0" w:rsidP="007740C0">
            <w:proofErr w:type="spellStart"/>
            <w:r w:rsidRPr="007740C0">
              <w:t>DbClasses</w:t>
            </w:r>
            <w:proofErr w:type="spellEnd"/>
          </w:p>
        </w:tc>
        <w:tc>
          <w:tcPr>
            <w:tcW w:w="0" w:type="auto"/>
            <w:tcBorders>
              <w:bottom w:val="single" w:sz="6" w:space="0" w:color="2A373A"/>
            </w:tcBorders>
            <w:tcMar>
              <w:top w:w="150" w:type="dxa"/>
              <w:left w:w="0" w:type="dxa"/>
              <w:bottom w:w="150" w:type="dxa"/>
              <w:right w:w="210" w:type="dxa"/>
            </w:tcMar>
            <w:hideMark/>
          </w:tcPr>
          <w:p w14:paraId="479EE1AE" w14:textId="77777777" w:rsidR="007740C0" w:rsidRPr="007740C0" w:rsidRDefault="007740C0" w:rsidP="007740C0">
            <w:r w:rsidRPr="007740C0">
              <w:t>72</w:t>
            </w:r>
          </w:p>
        </w:tc>
        <w:tc>
          <w:tcPr>
            <w:tcW w:w="0" w:type="auto"/>
            <w:tcBorders>
              <w:bottom w:val="single" w:sz="6" w:space="0" w:color="2A373A"/>
            </w:tcBorders>
            <w:tcMar>
              <w:top w:w="150" w:type="dxa"/>
              <w:left w:w="0" w:type="dxa"/>
              <w:bottom w:w="150" w:type="dxa"/>
              <w:right w:w="210" w:type="dxa"/>
            </w:tcMar>
            <w:hideMark/>
          </w:tcPr>
          <w:p w14:paraId="3544A45B" w14:textId="77777777" w:rsidR="007740C0" w:rsidRPr="007740C0" w:rsidRDefault="007740C0" w:rsidP="007740C0">
            <w:r w:rsidRPr="007740C0">
              <w:t>One class per table/view — entity + hand</w:t>
            </w:r>
            <w:r w:rsidRPr="007740C0">
              <w:noBreakHyphen/>
              <w:t>written SQL</w:t>
            </w:r>
          </w:p>
        </w:tc>
      </w:tr>
      <w:tr w:rsidR="007740C0" w:rsidRPr="007740C0" w14:paraId="7E491226" w14:textId="77777777" w:rsidTr="007740C0">
        <w:tc>
          <w:tcPr>
            <w:tcW w:w="0" w:type="auto"/>
            <w:tcBorders>
              <w:bottom w:val="single" w:sz="6" w:space="0" w:color="2A373A"/>
            </w:tcBorders>
            <w:tcMar>
              <w:top w:w="150" w:type="dxa"/>
              <w:left w:w="0" w:type="dxa"/>
              <w:bottom w:w="150" w:type="dxa"/>
              <w:right w:w="210" w:type="dxa"/>
            </w:tcMar>
            <w:hideMark/>
          </w:tcPr>
          <w:p w14:paraId="3E153A64" w14:textId="77777777" w:rsidR="007740C0" w:rsidRPr="007740C0" w:rsidRDefault="007740C0" w:rsidP="007740C0">
            <w:r w:rsidRPr="007740C0">
              <w:t>Windows</w:t>
            </w:r>
          </w:p>
        </w:tc>
        <w:tc>
          <w:tcPr>
            <w:tcW w:w="0" w:type="auto"/>
            <w:tcBorders>
              <w:bottom w:val="single" w:sz="6" w:space="0" w:color="2A373A"/>
            </w:tcBorders>
            <w:tcMar>
              <w:top w:w="150" w:type="dxa"/>
              <w:left w:w="0" w:type="dxa"/>
              <w:bottom w:w="150" w:type="dxa"/>
              <w:right w:w="210" w:type="dxa"/>
            </w:tcMar>
            <w:hideMark/>
          </w:tcPr>
          <w:p w14:paraId="4F6DE671" w14:textId="77777777" w:rsidR="007740C0" w:rsidRPr="007740C0" w:rsidRDefault="007740C0" w:rsidP="007740C0">
            <w:r w:rsidRPr="007740C0">
              <w:t>53</w:t>
            </w:r>
          </w:p>
        </w:tc>
        <w:tc>
          <w:tcPr>
            <w:tcW w:w="0" w:type="auto"/>
            <w:tcBorders>
              <w:bottom w:val="single" w:sz="6" w:space="0" w:color="2A373A"/>
            </w:tcBorders>
            <w:tcMar>
              <w:top w:w="150" w:type="dxa"/>
              <w:left w:w="0" w:type="dxa"/>
              <w:bottom w:w="150" w:type="dxa"/>
              <w:right w:w="210" w:type="dxa"/>
            </w:tcMar>
            <w:hideMark/>
          </w:tcPr>
          <w:p w14:paraId="462E6E44" w14:textId="77777777" w:rsidR="007740C0" w:rsidRPr="007740C0" w:rsidRDefault="007740C0" w:rsidP="007740C0">
            <w:proofErr w:type="spellStart"/>
            <w:r w:rsidRPr="007740C0">
              <w:t>Vaadin</w:t>
            </w:r>
            <w:proofErr w:type="spellEnd"/>
            <w:r w:rsidRPr="007740C0">
              <w:t xml:space="preserve"> modal dialogs — one per edit screen</w:t>
            </w:r>
          </w:p>
        </w:tc>
      </w:tr>
      <w:tr w:rsidR="007740C0" w:rsidRPr="007740C0" w14:paraId="7BF1CAC8" w14:textId="77777777" w:rsidTr="007740C0">
        <w:tc>
          <w:tcPr>
            <w:tcW w:w="0" w:type="auto"/>
            <w:tcBorders>
              <w:bottom w:val="single" w:sz="6" w:space="0" w:color="2A373A"/>
            </w:tcBorders>
            <w:tcMar>
              <w:top w:w="150" w:type="dxa"/>
              <w:left w:w="0" w:type="dxa"/>
              <w:bottom w:w="150" w:type="dxa"/>
              <w:right w:w="210" w:type="dxa"/>
            </w:tcMar>
            <w:hideMark/>
          </w:tcPr>
          <w:p w14:paraId="544A27C7" w14:textId="77777777" w:rsidR="007740C0" w:rsidRPr="007740C0" w:rsidRDefault="007740C0" w:rsidP="007740C0">
            <w:r w:rsidRPr="007740C0">
              <w:t>Layouts</w:t>
            </w:r>
          </w:p>
        </w:tc>
        <w:tc>
          <w:tcPr>
            <w:tcW w:w="0" w:type="auto"/>
            <w:tcBorders>
              <w:bottom w:val="single" w:sz="6" w:space="0" w:color="2A373A"/>
            </w:tcBorders>
            <w:tcMar>
              <w:top w:w="150" w:type="dxa"/>
              <w:left w:w="0" w:type="dxa"/>
              <w:bottom w:w="150" w:type="dxa"/>
              <w:right w:w="210" w:type="dxa"/>
            </w:tcMar>
            <w:hideMark/>
          </w:tcPr>
          <w:p w14:paraId="3BE4CD64" w14:textId="77777777" w:rsidR="007740C0" w:rsidRPr="007740C0" w:rsidRDefault="007740C0" w:rsidP="007740C0">
            <w:r w:rsidRPr="007740C0">
              <w:t>54</w:t>
            </w:r>
          </w:p>
        </w:tc>
        <w:tc>
          <w:tcPr>
            <w:tcW w:w="0" w:type="auto"/>
            <w:tcBorders>
              <w:bottom w:val="single" w:sz="6" w:space="0" w:color="2A373A"/>
            </w:tcBorders>
            <w:tcMar>
              <w:top w:w="150" w:type="dxa"/>
              <w:left w:w="0" w:type="dxa"/>
              <w:bottom w:w="150" w:type="dxa"/>
              <w:right w:w="210" w:type="dxa"/>
            </w:tcMar>
            <w:hideMark/>
          </w:tcPr>
          <w:p w14:paraId="53A855D6" w14:textId="77777777" w:rsidR="007740C0" w:rsidRPr="007740C0" w:rsidRDefault="007740C0" w:rsidP="007740C0">
            <w:r w:rsidRPr="007740C0">
              <w:t>Page</w:t>
            </w:r>
            <w:r w:rsidRPr="007740C0">
              <w:noBreakHyphen/>
              <w:t>level composed views (tabs: Dashboard, Clients, Overview, Reports, Revision, Admin)</w:t>
            </w:r>
          </w:p>
        </w:tc>
      </w:tr>
      <w:tr w:rsidR="007740C0" w:rsidRPr="007740C0" w14:paraId="2CA4EA45" w14:textId="77777777" w:rsidTr="007740C0">
        <w:tc>
          <w:tcPr>
            <w:tcW w:w="0" w:type="auto"/>
            <w:tcBorders>
              <w:bottom w:val="single" w:sz="6" w:space="0" w:color="2A373A"/>
            </w:tcBorders>
            <w:tcMar>
              <w:top w:w="150" w:type="dxa"/>
              <w:left w:w="0" w:type="dxa"/>
              <w:bottom w:w="150" w:type="dxa"/>
              <w:right w:w="210" w:type="dxa"/>
            </w:tcMar>
            <w:hideMark/>
          </w:tcPr>
          <w:p w14:paraId="05FD44E9" w14:textId="77777777" w:rsidR="007740C0" w:rsidRPr="007740C0" w:rsidRDefault="007740C0" w:rsidP="007740C0">
            <w:proofErr w:type="spellStart"/>
            <w:r w:rsidRPr="007740C0">
              <w:t>DataTables</w:t>
            </w:r>
            <w:proofErr w:type="spellEnd"/>
          </w:p>
        </w:tc>
        <w:tc>
          <w:tcPr>
            <w:tcW w:w="0" w:type="auto"/>
            <w:tcBorders>
              <w:bottom w:val="single" w:sz="6" w:space="0" w:color="2A373A"/>
            </w:tcBorders>
            <w:tcMar>
              <w:top w:w="150" w:type="dxa"/>
              <w:left w:w="0" w:type="dxa"/>
              <w:bottom w:w="150" w:type="dxa"/>
              <w:right w:w="210" w:type="dxa"/>
            </w:tcMar>
            <w:hideMark/>
          </w:tcPr>
          <w:p w14:paraId="604941A2" w14:textId="77777777" w:rsidR="007740C0" w:rsidRPr="007740C0" w:rsidRDefault="007740C0" w:rsidP="007740C0">
            <w:r w:rsidRPr="007740C0">
              <w:t>49</w:t>
            </w:r>
          </w:p>
        </w:tc>
        <w:tc>
          <w:tcPr>
            <w:tcW w:w="0" w:type="auto"/>
            <w:tcBorders>
              <w:bottom w:val="single" w:sz="6" w:space="0" w:color="2A373A"/>
            </w:tcBorders>
            <w:tcMar>
              <w:top w:w="150" w:type="dxa"/>
              <w:left w:w="0" w:type="dxa"/>
              <w:bottom w:w="150" w:type="dxa"/>
              <w:right w:w="210" w:type="dxa"/>
            </w:tcMar>
            <w:hideMark/>
          </w:tcPr>
          <w:p w14:paraId="7567DD62" w14:textId="77777777" w:rsidR="007740C0" w:rsidRPr="007740C0" w:rsidRDefault="007740C0" w:rsidP="007740C0">
            <w:r w:rsidRPr="007740C0">
              <w:t xml:space="preserve">Grid/container bindings paired to </w:t>
            </w:r>
            <w:proofErr w:type="spellStart"/>
            <w:r w:rsidRPr="007740C0">
              <w:t>DbClasses</w:t>
            </w:r>
            <w:proofErr w:type="spellEnd"/>
          </w:p>
        </w:tc>
      </w:tr>
      <w:tr w:rsidR="007740C0" w:rsidRPr="007740C0" w14:paraId="41476B7F" w14:textId="77777777" w:rsidTr="007740C0">
        <w:tc>
          <w:tcPr>
            <w:tcW w:w="0" w:type="auto"/>
            <w:tcBorders>
              <w:bottom w:val="single" w:sz="6" w:space="0" w:color="2A373A"/>
            </w:tcBorders>
            <w:tcMar>
              <w:top w:w="150" w:type="dxa"/>
              <w:left w:w="0" w:type="dxa"/>
              <w:bottom w:w="150" w:type="dxa"/>
              <w:right w:w="210" w:type="dxa"/>
            </w:tcMar>
            <w:hideMark/>
          </w:tcPr>
          <w:p w14:paraId="4DBC21AC" w14:textId="77777777" w:rsidR="007740C0" w:rsidRPr="007740C0" w:rsidRDefault="007740C0" w:rsidP="007740C0">
            <w:r w:rsidRPr="007740C0">
              <w:t>Panels</w:t>
            </w:r>
          </w:p>
        </w:tc>
        <w:tc>
          <w:tcPr>
            <w:tcW w:w="0" w:type="auto"/>
            <w:tcBorders>
              <w:bottom w:val="single" w:sz="6" w:space="0" w:color="2A373A"/>
            </w:tcBorders>
            <w:tcMar>
              <w:top w:w="150" w:type="dxa"/>
              <w:left w:w="0" w:type="dxa"/>
              <w:bottom w:w="150" w:type="dxa"/>
              <w:right w:w="210" w:type="dxa"/>
            </w:tcMar>
            <w:hideMark/>
          </w:tcPr>
          <w:p w14:paraId="45649DB3" w14:textId="77777777" w:rsidR="007740C0" w:rsidRPr="007740C0" w:rsidRDefault="007740C0" w:rsidP="007740C0">
            <w:r w:rsidRPr="007740C0">
              <w:t>15</w:t>
            </w:r>
          </w:p>
        </w:tc>
        <w:tc>
          <w:tcPr>
            <w:tcW w:w="0" w:type="auto"/>
            <w:tcBorders>
              <w:bottom w:val="single" w:sz="6" w:space="0" w:color="2A373A"/>
            </w:tcBorders>
            <w:tcMar>
              <w:top w:w="150" w:type="dxa"/>
              <w:left w:w="0" w:type="dxa"/>
              <w:bottom w:w="150" w:type="dxa"/>
              <w:right w:w="210" w:type="dxa"/>
            </w:tcMar>
            <w:hideMark/>
          </w:tcPr>
          <w:p w14:paraId="4002AA2E" w14:textId="77777777" w:rsidR="007740C0" w:rsidRPr="007740C0" w:rsidRDefault="007740C0" w:rsidP="007740C0">
            <w:r w:rsidRPr="007740C0">
              <w:t>Reusable sub</w:t>
            </w:r>
            <w:r w:rsidRPr="007740C0">
              <w:noBreakHyphen/>
              <w:t>forms (PEP, ownership, revision types)</w:t>
            </w:r>
          </w:p>
        </w:tc>
      </w:tr>
      <w:tr w:rsidR="007740C0" w:rsidRPr="007740C0" w14:paraId="7A009632" w14:textId="77777777" w:rsidTr="007740C0">
        <w:tc>
          <w:tcPr>
            <w:tcW w:w="0" w:type="auto"/>
            <w:tcBorders>
              <w:bottom w:val="single" w:sz="6" w:space="0" w:color="2A373A"/>
            </w:tcBorders>
            <w:tcMar>
              <w:top w:w="150" w:type="dxa"/>
              <w:left w:w="0" w:type="dxa"/>
              <w:bottom w:w="150" w:type="dxa"/>
              <w:right w:w="210" w:type="dxa"/>
            </w:tcMar>
            <w:hideMark/>
          </w:tcPr>
          <w:p w14:paraId="6BF3B73C" w14:textId="77777777" w:rsidR="007740C0" w:rsidRPr="007740C0" w:rsidRDefault="007740C0" w:rsidP="007740C0">
            <w:r w:rsidRPr="007740C0">
              <w:t>Controls</w:t>
            </w:r>
          </w:p>
        </w:tc>
        <w:tc>
          <w:tcPr>
            <w:tcW w:w="0" w:type="auto"/>
            <w:tcBorders>
              <w:bottom w:val="single" w:sz="6" w:space="0" w:color="2A373A"/>
            </w:tcBorders>
            <w:tcMar>
              <w:top w:w="150" w:type="dxa"/>
              <w:left w:w="0" w:type="dxa"/>
              <w:bottom w:w="150" w:type="dxa"/>
              <w:right w:w="210" w:type="dxa"/>
            </w:tcMar>
            <w:hideMark/>
          </w:tcPr>
          <w:p w14:paraId="7FC9594D" w14:textId="77777777" w:rsidR="007740C0" w:rsidRPr="007740C0" w:rsidRDefault="007740C0" w:rsidP="007740C0">
            <w:r w:rsidRPr="007740C0">
              <w:t>12</w:t>
            </w:r>
          </w:p>
        </w:tc>
        <w:tc>
          <w:tcPr>
            <w:tcW w:w="0" w:type="auto"/>
            <w:tcBorders>
              <w:bottom w:val="single" w:sz="6" w:space="0" w:color="2A373A"/>
            </w:tcBorders>
            <w:tcMar>
              <w:top w:w="150" w:type="dxa"/>
              <w:left w:w="0" w:type="dxa"/>
              <w:bottom w:w="150" w:type="dxa"/>
              <w:right w:w="210" w:type="dxa"/>
            </w:tcMar>
            <w:hideMark/>
          </w:tcPr>
          <w:p w14:paraId="6A73DD60" w14:textId="77777777" w:rsidR="007740C0" w:rsidRPr="007740C0" w:rsidRDefault="007740C0" w:rsidP="007740C0">
            <w:r w:rsidRPr="007740C0">
              <w:t>Bound combo boxes (cities, postal codes, risk levels…)</w:t>
            </w:r>
          </w:p>
        </w:tc>
      </w:tr>
      <w:tr w:rsidR="007740C0" w:rsidRPr="007740C0" w14:paraId="39B40310" w14:textId="77777777" w:rsidTr="007740C0">
        <w:tc>
          <w:tcPr>
            <w:tcW w:w="0" w:type="auto"/>
            <w:tcBorders>
              <w:bottom w:val="single" w:sz="6" w:space="0" w:color="2A373A"/>
            </w:tcBorders>
            <w:tcMar>
              <w:top w:w="150" w:type="dxa"/>
              <w:left w:w="0" w:type="dxa"/>
              <w:bottom w:w="150" w:type="dxa"/>
              <w:right w:w="210" w:type="dxa"/>
            </w:tcMar>
            <w:hideMark/>
          </w:tcPr>
          <w:p w14:paraId="038EF2B4" w14:textId="77777777" w:rsidR="007740C0" w:rsidRPr="007740C0" w:rsidRDefault="007740C0" w:rsidP="007740C0">
            <w:proofErr w:type="spellStart"/>
            <w:r w:rsidRPr="007740C0">
              <w:t>SWfilter</w:t>
            </w:r>
            <w:proofErr w:type="spellEnd"/>
          </w:p>
        </w:tc>
        <w:tc>
          <w:tcPr>
            <w:tcW w:w="0" w:type="auto"/>
            <w:tcBorders>
              <w:bottom w:val="single" w:sz="6" w:space="0" w:color="2A373A"/>
            </w:tcBorders>
            <w:tcMar>
              <w:top w:w="150" w:type="dxa"/>
              <w:left w:w="0" w:type="dxa"/>
              <w:bottom w:w="150" w:type="dxa"/>
              <w:right w:w="210" w:type="dxa"/>
            </w:tcMar>
            <w:hideMark/>
          </w:tcPr>
          <w:p w14:paraId="1E01A4A8" w14:textId="77777777" w:rsidR="007740C0" w:rsidRPr="007740C0" w:rsidRDefault="007740C0" w:rsidP="007740C0">
            <w:r w:rsidRPr="007740C0">
              <w:t>6</w:t>
            </w:r>
          </w:p>
        </w:tc>
        <w:tc>
          <w:tcPr>
            <w:tcW w:w="0" w:type="auto"/>
            <w:tcBorders>
              <w:bottom w:val="single" w:sz="6" w:space="0" w:color="2A373A"/>
            </w:tcBorders>
            <w:tcMar>
              <w:top w:w="150" w:type="dxa"/>
              <w:left w:w="0" w:type="dxa"/>
              <w:bottom w:w="150" w:type="dxa"/>
              <w:right w:w="210" w:type="dxa"/>
            </w:tcMar>
            <w:hideMark/>
          </w:tcPr>
          <w:p w14:paraId="40167C86" w14:textId="77777777" w:rsidR="007740C0" w:rsidRPr="007740C0" w:rsidRDefault="007740C0" w:rsidP="007740C0">
            <w:r w:rsidRPr="007740C0">
              <w:t>Sanctions/PEP screening client</w:t>
            </w:r>
          </w:p>
        </w:tc>
      </w:tr>
      <w:tr w:rsidR="007740C0" w:rsidRPr="007740C0" w14:paraId="24CF4059" w14:textId="77777777" w:rsidTr="007740C0">
        <w:tc>
          <w:tcPr>
            <w:tcW w:w="0" w:type="auto"/>
            <w:tcBorders>
              <w:bottom w:val="single" w:sz="6" w:space="0" w:color="2A373A"/>
            </w:tcBorders>
            <w:tcMar>
              <w:top w:w="150" w:type="dxa"/>
              <w:left w:w="0" w:type="dxa"/>
              <w:bottom w:w="150" w:type="dxa"/>
              <w:right w:w="210" w:type="dxa"/>
            </w:tcMar>
            <w:hideMark/>
          </w:tcPr>
          <w:p w14:paraId="49E6433F" w14:textId="77777777" w:rsidR="007740C0" w:rsidRPr="007740C0" w:rsidRDefault="007740C0" w:rsidP="007740C0">
            <w:r w:rsidRPr="007740C0">
              <w:t xml:space="preserve">Converters, </w:t>
            </w:r>
            <w:proofErr w:type="spellStart"/>
            <w:r w:rsidRPr="007740C0">
              <w:t>Kontrola</w:t>
            </w:r>
            <w:proofErr w:type="spellEnd"/>
            <w:r w:rsidRPr="007740C0">
              <w:t>, util, top</w:t>
            </w:r>
            <w:r w:rsidRPr="007740C0">
              <w:noBreakHyphen/>
              <w:t>level</w:t>
            </w:r>
          </w:p>
        </w:tc>
        <w:tc>
          <w:tcPr>
            <w:tcW w:w="0" w:type="auto"/>
            <w:tcBorders>
              <w:bottom w:val="single" w:sz="6" w:space="0" w:color="2A373A"/>
            </w:tcBorders>
            <w:tcMar>
              <w:top w:w="150" w:type="dxa"/>
              <w:left w:w="0" w:type="dxa"/>
              <w:bottom w:w="150" w:type="dxa"/>
              <w:right w:w="210" w:type="dxa"/>
            </w:tcMar>
            <w:hideMark/>
          </w:tcPr>
          <w:p w14:paraId="21AE97D6" w14:textId="77777777" w:rsidR="007740C0" w:rsidRPr="007740C0" w:rsidRDefault="007740C0" w:rsidP="007740C0">
            <w:r w:rsidRPr="007740C0">
              <w:t>30</w:t>
            </w:r>
          </w:p>
        </w:tc>
        <w:tc>
          <w:tcPr>
            <w:tcW w:w="0" w:type="auto"/>
            <w:tcBorders>
              <w:bottom w:val="single" w:sz="6" w:space="0" w:color="2A373A"/>
            </w:tcBorders>
            <w:tcMar>
              <w:top w:w="150" w:type="dxa"/>
              <w:left w:w="0" w:type="dxa"/>
              <w:bottom w:w="150" w:type="dxa"/>
              <w:right w:w="210" w:type="dxa"/>
            </w:tcMar>
            <w:hideMark/>
          </w:tcPr>
          <w:p w14:paraId="4203BF50" w14:textId="77777777" w:rsidR="007740C0" w:rsidRPr="007740C0" w:rsidRDefault="007740C0" w:rsidP="007740C0">
            <w:r w:rsidRPr="007740C0">
              <w:t>Formatters, session/lock/role managers, Excel export</w:t>
            </w:r>
          </w:p>
        </w:tc>
      </w:tr>
    </w:tbl>
    <w:p w14:paraId="3DE45978" w14:textId="77777777" w:rsidR="007740C0" w:rsidRPr="007740C0" w:rsidRDefault="007740C0" w:rsidP="007740C0">
      <w:r w:rsidRPr="007740C0">
        <w:t>The </w:t>
      </w:r>
      <w:r w:rsidRPr="007740C0">
        <w:rPr>
          <w:b/>
          <w:bCs/>
        </w:rPr>
        <w:t>UI and the database are the same layer</w:t>
      </w:r>
      <w:r w:rsidRPr="007740C0">
        <w:t> — there is essentially no service tier. That's the single biggest structural fact driving the rewrite plan below.</w:t>
      </w:r>
    </w:p>
    <w:p w14:paraId="7C4920D7" w14:textId="77777777" w:rsidR="007740C0" w:rsidRPr="007740C0" w:rsidRDefault="007740C0" w:rsidP="007740C0">
      <w:r w:rsidRPr="007740C0">
        <w:t>02</w:t>
      </w:r>
    </w:p>
    <w:p w14:paraId="1C7DC68D" w14:textId="77777777" w:rsidR="007740C0" w:rsidRPr="007740C0" w:rsidRDefault="007740C0" w:rsidP="007740C0">
      <w:pPr>
        <w:rPr>
          <w:b/>
          <w:bCs/>
        </w:rPr>
      </w:pPr>
      <w:r w:rsidRPr="007740C0">
        <w:rPr>
          <w:b/>
          <w:bCs/>
        </w:rPr>
        <w:t>The domain, as it actually works</w:t>
      </w:r>
    </w:p>
    <w:p w14:paraId="2036DF2C" w14:textId="77777777" w:rsidR="007740C0" w:rsidRPr="007740C0" w:rsidRDefault="007740C0" w:rsidP="007740C0">
      <w:r w:rsidRPr="007740C0">
        <w:t>Read from the schema and constants rather than any spec doc, because none was provided — worth confirming against </w:t>
      </w:r>
      <w:r w:rsidRPr="007740C0">
        <w:rPr>
          <w:b/>
          <w:bCs/>
        </w:rPr>
        <w:t>REQUIREMENTS.md</w:t>
      </w:r>
      <w:r w:rsidRPr="007740C0">
        <w:t>-equivalent documentation if one exists.</w:t>
      </w:r>
    </w:p>
    <w:p w14:paraId="741C6D8D" w14:textId="77777777" w:rsidR="007740C0" w:rsidRPr="007740C0" w:rsidRDefault="007740C0" w:rsidP="007740C0">
      <w:pPr>
        <w:rPr>
          <w:b/>
          <w:bCs/>
        </w:rPr>
      </w:pPr>
      <w:r w:rsidRPr="007740C0">
        <w:rPr>
          <w:b/>
          <w:bCs/>
        </w:rPr>
        <w:t>Client types &amp; ownership</w:t>
      </w:r>
    </w:p>
    <w:p w14:paraId="01A3C0DF" w14:textId="77777777" w:rsidR="007740C0" w:rsidRPr="007740C0" w:rsidRDefault="007740C0" w:rsidP="007740C0">
      <w:pPr>
        <w:numPr>
          <w:ilvl w:val="0"/>
          <w:numId w:val="1"/>
        </w:numPr>
      </w:pPr>
      <w:r w:rsidRPr="007740C0">
        <w:t>Four client types share one pipeline: Physical (P) Legal (L) Bank – EU (BEU) Bank – Int'l (BINT), each with its own document set and risk questionnaire.</w:t>
      </w:r>
    </w:p>
    <w:p w14:paraId="022AEE3A" w14:textId="77777777" w:rsidR="007740C0" w:rsidRPr="007740C0" w:rsidRDefault="007740C0" w:rsidP="007740C0">
      <w:pPr>
        <w:numPr>
          <w:ilvl w:val="0"/>
          <w:numId w:val="1"/>
        </w:numPr>
      </w:pPr>
      <w:r w:rsidRPr="007740C0">
        <w:t>Legal-entity clients carry a full </w:t>
      </w:r>
      <w:r w:rsidRPr="007740C0">
        <w:rPr>
          <w:b/>
          <w:bCs/>
        </w:rPr>
        <w:t>beneficial</w:t>
      </w:r>
      <w:r w:rsidRPr="007740C0">
        <w:rPr>
          <w:b/>
          <w:bCs/>
        </w:rPr>
        <w:noBreakHyphen/>
        <w:t>ownership structure</w:t>
      </w:r>
      <w:r w:rsidRPr="007740C0">
        <w:t>: owners can be physical or legal persons, arranged in a hierarchy (</w:t>
      </w:r>
      <w:proofErr w:type="spellStart"/>
      <w:r w:rsidRPr="007740C0">
        <w:t>CL_Clnt_Ownr_Hrchy</w:t>
      </w:r>
      <w:proofErr w:type="spellEnd"/>
      <w:r w:rsidRPr="007740C0">
        <w:t>), each flaggable as a PEP independently of the client itself.</w:t>
      </w:r>
    </w:p>
    <w:p w14:paraId="4401D7ED" w14:textId="77777777" w:rsidR="007740C0" w:rsidRPr="007740C0" w:rsidRDefault="007740C0" w:rsidP="007740C0">
      <w:pPr>
        <w:numPr>
          <w:ilvl w:val="0"/>
          <w:numId w:val="1"/>
        </w:numPr>
      </w:pPr>
      <w:r w:rsidRPr="007740C0">
        <w:lastRenderedPageBreak/>
        <w:t>Client master data appears to originate upstream (</w:t>
      </w:r>
      <w:proofErr w:type="spellStart"/>
      <w:r w:rsidRPr="007740C0">
        <w:t>HBOR_Klijent</w:t>
      </w:r>
      <w:proofErr w:type="spellEnd"/>
      <w:r w:rsidRPr="007740C0">
        <w:t xml:space="preserve">, an HBOR_ID foreign key on every client row) and is periodically synced in — this is likely a feed from a core banking / loan system, not data entered fresh in </w:t>
      </w:r>
      <w:proofErr w:type="spellStart"/>
      <w:r w:rsidRPr="007740C0">
        <w:t>eKYC</w:t>
      </w:r>
      <w:proofErr w:type="spellEnd"/>
      <w:r w:rsidRPr="007740C0">
        <w:t>.</w:t>
      </w:r>
    </w:p>
    <w:p w14:paraId="15C56E8F" w14:textId="77777777" w:rsidR="007740C0" w:rsidRPr="007740C0" w:rsidRDefault="007740C0" w:rsidP="007740C0">
      <w:pPr>
        <w:rPr>
          <w:b/>
          <w:bCs/>
        </w:rPr>
      </w:pPr>
      <w:r w:rsidRPr="007740C0">
        <w:rPr>
          <w:b/>
          <w:bCs/>
        </w:rPr>
        <w:t>Risk &amp; screening</w:t>
      </w:r>
    </w:p>
    <w:p w14:paraId="522F2BCE" w14:textId="77777777" w:rsidR="007740C0" w:rsidRPr="007740C0" w:rsidRDefault="007740C0" w:rsidP="007740C0">
      <w:pPr>
        <w:numPr>
          <w:ilvl w:val="0"/>
          <w:numId w:val="2"/>
        </w:numPr>
      </w:pPr>
      <w:r w:rsidRPr="007740C0">
        <w:t>Each client is scored against a configurable </w:t>
      </w:r>
      <w:r w:rsidRPr="007740C0">
        <w:rPr>
          <w:b/>
          <w:bCs/>
        </w:rPr>
        <w:t>risk questionnaire</w:t>
      </w:r>
      <w:r w:rsidRPr="007740C0">
        <w:t> (criteria → points → risk class), with full history kept per client (</w:t>
      </w:r>
      <w:proofErr w:type="spellStart"/>
      <w:r w:rsidRPr="007740C0">
        <w:t>RskQstnHView</w:t>
      </w:r>
      <w:proofErr w:type="spellEnd"/>
      <w:r w:rsidRPr="007740C0">
        <w:t>) — re</w:t>
      </w:r>
      <w:r w:rsidRPr="007740C0">
        <w:noBreakHyphen/>
        <w:t>scoring on a schedule, not just at onboarding.</w:t>
      </w:r>
    </w:p>
    <w:p w14:paraId="76B05F17" w14:textId="77777777" w:rsidR="007740C0" w:rsidRPr="007740C0" w:rsidRDefault="007740C0" w:rsidP="007740C0">
      <w:pPr>
        <w:numPr>
          <w:ilvl w:val="0"/>
          <w:numId w:val="2"/>
        </w:numPr>
      </w:pPr>
      <w:r w:rsidRPr="007740C0">
        <w:t>Sanctions/PEP screening runs through an external </w:t>
      </w:r>
      <w:proofErr w:type="spellStart"/>
      <w:r w:rsidRPr="007740C0">
        <w:rPr>
          <w:b/>
          <w:bCs/>
        </w:rPr>
        <w:t>SafeWatch</w:t>
      </w:r>
      <w:proofErr w:type="spellEnd"/>
      <w:r w:rsidRPr="007740C0">
        <w:t> (</w:t>
      </w:r>
      <w:proofErr w:type="spellStart"/>
      <w:r w:rsidRPr="007740C0">
        <w:t>Fircosoft</w:t>
      </w:r>
      <w:proofErr w:type="spellEnd"/>
      <w:r w:rsidRPr="007740C0">
        <w:t>) integration — client and related</w:t>
      </w:r>
      <w:r w:rsidRPr="007740C0">
        <w:noBreakHyphen/>
        <w:t xml:space="preserve">persons records are pushed </w:t>
      </w:r>
      <w:proofErr w:type="gramStart"/>
      <w:r w:rsidRPr="007740C0">
        <w:t>out,</w:t>
      </w:r>
      <w:proofErr w:type="gramEnd"/>
      <w:r w:rsidRPr="007740C0">
        <w:t xml:space="preserve"> alerts and detections come back and gate the workflow.</w:t>
      </w:r>
    </w:p>
    <w:p w14:paraId="673CECB7" w14:textId="77777777" w:rsidR="007740C0" w:rsidRPr="007740C0" w:rsidRDefault="007740C0" w:rsidP="007740C0">
      <w:pPr>
        <w:numPr>
          <w:ilvl w:val="0"/>
          <w:numId w:val="2"/>
        </w:numPr>
      </w:pPr>
      <w:r w:rsidRPr="007740C0">
        <w:t>PEP status is tracked at three levels independently: the client, each contact, and each owner.</w:t>
      </w:r>
    </w:p>
    <w:p w14:paraId="27520FF5" w14:textId="77777777" w:rsidR="007740C0" w:rsidRPr="007740C0" w:rsidRDefault="007740C0" w:rsidP="007740C0">
      <w:pPr>
        <w:rPr>
          <w:b/>
          <w:bCs/>
        </w:rPr>
      </w:pPr>
      <w:r w:rsidRPr="007740C0">
        <w:rPr>
          <w:b/>
          <w:bCs/>
        </w:rPr>
        <w:t>Workflow (maker</w:t>
      </w:r>
      <w:r w:rsidRPr="007740C0">
        <w:rPr>
          <w:b/>
          <w:bCs/>
        </w:rPr>
        <w:noBreakHyphen/>
        <w:t>checker)</w:t>
      </w:r>
    </w:p>
    <w:p w14:paraId="123AFDED" w14:textId="77777777" w:rsidR="007740C0" w:rsidRPr="007740C0" w:rsidRDefault="007740C0" w:rsidP="007740C0">
      <w:r w:rsidRPr="007740C0">
        <w:t>Client processing status is a real state machine, not a free</w:t>
      </w:r>
      <w:r w:rsidRPr="007740C0">
        <w:noBreakHyphen/>
        <w:t>text field:</w:t>
      </w:r>
    </w:p>
    <w:p w14:paraId="7C2C315B" w14:textId="77777777" w:rsidR="007740C0" w:rsidRPr="007740C0" w:rsidRDefault="007740C0" w:rsidP="007740C0">
      <w:r w:rsidRPr="007740C0">
        <w:t>NOVI → IZMJENA → UPITNIK KREIRAN → SAFEWATCH PROVJERA → (SAFEWATCH OK | NOT OK) → OCJENA RIZIKA → ODOBRENJE1 → ODOBRENJE2 → AKTIVAN → (ZATVOREN | PREKID | ODBIJEN)</w:t>
      </w:r>
    </w:p>
    <w:p w14:paraId="466E5C1B" w14:textId="77777777" w:rsidR="007740C0" w:rsidRPr="007740C0" w:rsidRDefault="007740C0" w:rsidP="007740C0">
      <w:r w:rsidRPr="007740C0">
        <w:t>Two independent approval steps (ODOBRENJE1/ODOBRENJE2) gate activation — a maker</w:t>
      </w:r>
      <w:r w:rsidRPr="007740C0">
        <w:noBreakHyphen/>
        <w:t>checker control. Master</w:t>
      </w:r>
      <w:r w:rsidRPr="007740C0">
        <w:noBreakHyphen/>
        <w:t>data changes on an already</w:t>
      </w:r>
      <w:r w:rsidRPr="007740C0">
        <w:noBreakHyphen/>
        <w:t>active client go through a separate change/accept/reject cycle (MP_CHANGE) rather than being applied directly. Both are compliance controls that must survive the rewrite exactly, not just functionally.</w:t>
      </w:r>
    </w:p>
    <w:p w14:paraId="12D04EF4" w14:textId="77777777" w:rsidR="007740C0" w:rsidRPr="007740C0" w:rsidRDefault="007740C0" w:rsidP="007740C0">
      <w:pPr>
        <w:rPr>
          <w:b/>
          <w:bCs/>
        </w:rPr>
      </w:pPr>
      <w:r w:rsidRPr="007740C0">
        <w:rPr>
          <w:b/>
          <w:bCs/>
        </w:rPr>
        <w:t>Operational rules worth naming explicitly</w:t>
      </w:r>
    </w:p>
    <w:p w14:paraId="5C71A3A1" w14:textId="77777777" w:rsidR="007740C0" w:rsidRPr="007740C0" w:rsidRDefault="007740C0" w:rsidP="007740C0">
      <w:pPr>
        <w:numPr>
          <w:ilvl w:val="0"/>
          <w:numId w:val="3"/>
        </w:numPr>
      </w:pPr>
      <w:r w:rsidRPr="007740C0">
        <w:rPr>
          <w:b/>
          <w:bCs/>
        </w:rPr>
        <w:t>Record</w:t>
      </w:r>
      <w:r w:rsidRPr="007740C0">
        <w:rPr>
          <w:b/>
          <w:bCs/>
        </w:rPr>
        <w:noBreakHyphen/>
        <w:t>level pessimistic locking</w:t>
      </w:r>
      <w:r w:rsidRPr="007740C0">
        <w:t> — opening a client for edit writes a row to </w:t>
      </w:r>
      <w:proofErr w:type="spellStart"/>
      <w:r w:rsidRPr="007740C0">
        <w:t>A_Object_Locks</w:t>
      </w:r>
      <w:proofErr w:type="spellEnd"/>
      <w:r w:rsidRPr="007740C0">
        <w:t>; a second user is blocked from editing (not just warned) until the lock clears. This is Pattern 2-style locking, not optimistic concurrency.</w:t>
      </w:r>
    </w:p>
    <w:p w14:paraId="0E9F5226" w14:textId="77777777" w:rsidR="007740C0" w:rsidRPr="007740C0" w:rsidRDefault="007740C0" w:rsidP="007740C0">
      <w:pPr>
        <w:numPr>
          <w:ilvl w:val="0"/>
          <w:numId w:val="3"/>
        </w:numPr>
      </w:pPr>
      <w:r w:rsidRPr="007740C0">
        <w:rPr>
          <w:b/>
          <w:bCs/>
        </w:rPr>
        <w:t>Single active session per user</w:t>
      </w:r>
      <w:r w:rsidRPr="007740C0">
        <w:t> — the app tracks </w:t>
      </w:r>
      <w:proofErr w:type="spellStart"/>
      <w:r w:rsidRPr="007740C0">
        <w:t>Current_Host</w:t>
      </w:r>
      <w:proofErr w:type="spellEnd"/>
      <w:r w:rsidRPr="007740C0">
        <w:t>/</w:t>
      </w:r>
      <w:proofErr w:type="spellStart"/>
      <w:r w:rsidRPr="007740C0">
        <w:t>SessionId</w:t>
      </w:r>
      <w:proofErr w:type="spellEnd"/>
      <w:r w:rsidRPr="007740C0">
        <w:t> per user and refuses a second concurrent login.</w:t>
      </w:r>
    </w:p>
    <w:p w14:paraId="111F3C8C" w14:textId="77777777" w:rsidR="007740C0" w:rsidRPr="007740C0" w:rsidRDefault="007740C0" w:rsidP="007740C0">
      <w:pPr>
        <w:numPr>
          <w:ilvl w:val="0"/>
          <w:numId w:val="3"/>
        </w:numPr>
      </w:pPr>
      <w:r w:rsidRPr="007740C0">
        <w:rPr>
          <w:b/>
          <w:bCs/>
        </w:rPr>
        <w:t>Fine</w:t>
      </w:r>
      <w:r w:rsidRPr="007740C0">
        <w:rPr>
          <w:b/>
          <w:bCs/>
        </w:rPr>
        <w:noBreakHyphen/>
        <w:t>grained, object</w:t>
      </w:r>
      <w:r w:rsidRPr="007740C0">
        <w:rPr>
          <w:b/>
          <w:bCs/>
        </w:rPr>
        <w:noBreakHyphen/>
        <w:t>level roles</w:t>
      </w:r>
      <w:r w:rsidRPr="007740C0">
        <w:t> — permissions are assigned per role per UI object (</w:t>
      </w:r>
      <w:proofErr w:type="spellStart"/>
      <w:r w:rsidRPr="007740C0">
        <w:t>AISRoleObjct</w:t>
      </w:r>
      <w:proofErr w:type="spellEnd"/>
      <w:r w:rsidRPr="007740C0">
        <w:t>), not just per screen.</w:t>
      </w:r>
    </w:p>
    <w:p w14:paraId="766277EF" w14:textId="77777777" w:rsidR="007740C0" w:rsidRPr="007740C0" w:rsidRDefault="007740C0" w:rsidP="007740C0">
      <w:pPr>
        <w:numPr>
          <w:ilvl w:val="0"/>
          <w:numId w:val="3"/>
        </w:numPr>
      </w:pPr>
      <w:r w:rsidRPr="007740C0">
        <w:rPr>
          <w:b/>
          <w:bCs/>
        </w:rPr>
        <w:t>Scheduled re</w:t>
      </w:r>
      <w:r w:rsidRPr="007740C0">
        <w:rPr>
          <w:b/>
          <w:bCs/>
        </w:rPr>
        <w:noBreakHyphen/>
        <w:t>review tasks</w:t>
      </w:r>
      <w:r w:rsidRPr="007740C0">
        <w:t> per client (</w:t>
      </w:r>
      <w:proofErr w:type="spellStart"/>
      <w:r w:rsidRPr="007740C0">
        <w:t>CLClntTaskSchedule</w:t>
      </w:r>
      <w:proofErr w:type="spellEnd"/>
      <w:r w:rsidRPr="007740C0">
        <w:t>, interval</w:t>
      </w:r>
      <w:r w:rsidRPr="007740C0">
        <w:noBreakHyphen/>
        <w:t>based) — periodic KYC refresh, a regulatory requirement in most AML regimes.</w:t>
      </w:r>
    </w:p>
    <w:p w14:paraId="3AA00B0E" w14:textId="77777777" w:rsidR="007740C0" w:rsidRPr="007740C0" w:rsidRDefault="007740C0" w:rsidP="007740C0">
      <w:pPr>
        <w:numPr>
          <w:ilvl w:val="0"/>
          <w:numId w:val="3"/>
        </w:numPr>
      </w:pPr>
      <w:r w:rsidRPr="007740C0">
        <w:t>Full audit log of operations (</w:t>
      </w:r>
      <w:proofErr w:type="spellStart"/>
      <w:r w:rsidRPr="007740C0">
        <w:t>OperationLog</w:t>
      </w:r>
      <w:proofErr w:type="spellEnd"/>
      <w:r w:rsidRPr="007740C0">
        <w:t>) — expect this to matter to whoever the bank's compliance/audit function is.</w:t>
      </w:r>
    </w:p>
    <w:p w14:paraId="28D4DC0C" w14:textId="77777777" w:rsidR="007740C0" w:rsidRPr="007740C0" w:rsidRDefault="007740C0" w:rsidP="007740C0">
      <w:r w:rsidRPr="007740C0">
        <w:t>03</w:t>
      </w:r>
    </w:p>
    <w:p w14:paraId="090A8889" w14:textId="77777777" w:rsidR="007740C0" w:rsidRPr="007740C0" w:rsidRDefault="007740C0" w:rsidP="007740C0">
      <w:pPr>
        <w:rPr>
          <w:b/>
          <w:bCs/>
        </w:rPr>
      </w:pPr>
      <w:r w:rsidRPr="007740C0">
        <w:rPr>
          <w:b/>
          <w:bCs/>
        </w:rPr>
        <w:t>Integration surface</w:t>
      </w:r>
    </w:p>
    <w:tbl>
      <w:tblPr>
        <w:tblW w:w="11700" w:type="dxa"/>
        <w:tblCellMar>
          <w:top w:w="15" w:type="dxa"/>
          <w:left w:w="15" w:type="dxa"/>
          <w:bottom w:w="15" w:type="dxa"/>
          <w:right w:w="15" w:type="dxa"/>
        </w:tblCellMar>
        <w:tblLook w:val="04A0" w:firstRow="1" w:lastRow="0" w:firstColumn="1" w:lastColumn="0" w:noHBand="0" w:noVBand="1"/>
      </w:tblPr>
      <w:tblGrid>
        <w:gridCol w:w="2409"/>
        <w:gridCol w:w="2901"/>
        <w:gridCol w:w="6390"/>
      </w:tblGrid>
      <w:tr w:rsidR="007740C0" w:rsidRPr="007740C0" w14:paraId="139BA8BD" w14:textId="77777777" w:rsidTr="007740C0">
        <w:tc>
          <w:tcPr>
            <w:tcW w:w="0" w:type="auto"/>
            <w:tcBorders>
              <w:bottom w:val="single" w:sz="6" w:space="0" w:color="2A373A"/>
            </w:tcBorders>
            <w:tcMar>
              <w:top w:w="120" w:type="dxa"/>
              <w:left w:w="0" w:type="dxa"/>
              <w:bottom w:w="120" w:type="dxa"/>
              <w:right w:w="210" w:type="dxa"/>
            </w:tcMar>
            <w:vAlign w:val="center"/>
            <w:hideMark/>
          </w:tcPr>
          <w:p w14:paraId="7424B0E1" w14:textId="77777777" w:rsidR="007740C0" w:rsidRPr="007740C0" w:rsidRDefault="007740C0" w:rsidP="007740C0">
            <w:r w:rsidRPr="007740C0">
              <w:lastRenderedPageBreak/>
              <w:t>System</w:t>
            </w:r>
          </w:p>
        </w:tc>
        <w:tc>
          <w:tcPr>
            <w:tcW w:w="0" w:type="auto"/>
            <w:tcBorders>
              <w:bottom w:val="single" w:sz="6" w:space="0" w:color="2A373A"/>
            </w:tcBorders>
            <w:tcMar>
              <w:top w:w="120" w:type="dxa"/>
              <w:left w:w="0" w:type="dxa"/>
              <w:bottom w:w="120" w:type="dxa"/>
              <w:right w:w="210" w:type="dxa"/>
            </w:tcMar>
            <w:vAlign w:val="center"/>
            <w:hideMark/>
          </w:tcPr>
          <w:p w14:paraId="3EA2A206" w14:textId="77777777" w:rsidR="007740C0" w:rsidRPr="007740C0" w:rsidRDefault="007740C0" w:rsidP="007740C0">
            <w:r w:rsidRPr="007740C0">
              <w:t>Purpose</w:t>
            </w:r>
          </w:p>
        </w:tc>
        <w:tc>
          <w:tcPr>
            <w:tcW w:w="0" w:type="auto"/>
            <w:tcBorders>
              <w:bottom w:val="single" w:sz="6" w:space="0" w:color="2A373A"/>
            </w:tcBorders>
            <w:tcMar>
              <w:top w:w="120" w:type="dxa"/>
              <w:left w:w="0" w:type="dxa"/>
              <w:bottom w:w="120" w:type="dxa"/>
              <w:right w:w="210" w:type="dxa"/>
            </w:tcMar>
            <w:vAlign w:val="center"/>
            <w:hideMark/>
          </w:tcPr>
          <w:p w14:paraId="002E8472" w14:textId="77777777" w:rsidR="007740C0" w:rsidRPr="007740C0" w:rsidRDefault="007740C0" w:rsidP="007740C0">
            <w:r w:rsidRPr="007740C0">
              <w:t xml:space="preserve">Migration </w:t>
            </w:r>
            <w:proofErr w:type="gramStart"/>
            <w:r w:rsidRPr="007740C0">
              <w:t>note</w:t>
            </w:r>
            <w:proofErr w:type="gramEnd"/>
          </w:p>
        </w:tc>
      </w:tr>
      <w:tr w:rsidR="007740C0" w:rsidRPr="007740C0" w14:paraId="5C357B14" w14:textId="77777777" w:rsidTr="007740C0">
        <w:tc>
          <w:tcPr>
            <w:tcW w:w="0" w:type="auto"/>
            <w:tcBorders>
              <w:bottom w:val="single" w:sz="6" w:space="0" w:color="2A373A"/>
            </w:tcBorders>
            <w:tcMar>
              <w:top w:w="150" w:type="dxa"/>
              <w:left w:w="0" w:type="dxa"/>
              <w:bottom w:w="150" w:type="dxa"/>
              <w:right w:w="210" w:type="dxa"/>
            </w:tcMar>
            <w:hideMark/>
          </w:tcPr>
          <w:p w14:paraId="55A50B4A" w14:textId="77777777" w:rsidR="007740C0" w:rsidRPr="007740C0" w:rsidRDefault="007740C0" w:rsidP="007740C0">
            <w:r w:rsidRPr="007740C0">
              <w:t>Active Directory (Kerberos/SPNEGO)</w:t>
            </w:r>
          </w:p>
        </w:tc>
        <w:tc>
          <w:tcPr>
            <w:tcW w:w="0" w:type="auto"/>
            <w:tcBorders>
              <w:bottom w:val="single" w:sz="6" w:space="0" w:color="2A373A"/>
            </w:tcBorders>
            <w:tcMar>
              <w:top w:w="150" w:type="dxa"/>
              <w:left w:w="0" w:type="dxa"/>
              <w:bottom w:w="150" w:type="dxa"/>
              <w:right w:w="210" w:type="dxa"/>
            </w:tcMar>
            <w:hideMark/>
          </w:tcPr>
          <w:p w14:paraId="37AEF9AB" w14:textId="77777777" w:rsidR="007740C0" w:rsidRPr="007740C0" w:rsidRDefault="007740C0" w:rsidP="007740C0">
            <w:r w:rsidRPr="007740C0">
              <w:t>Windows</w:t>
            </w:r>
            <w:r w:rsidRPr="007740C0">
              <w:noBreakHyphen/>
              <w:t>integrated SSO login</w:t>
            </w:r>
          </w:p>
        </w:tc>
        <w:tc>
          <w:tcPr>
            <w:tcW w:w="0" w:type="auto"/>
            <w:tcBorders>
              <w:bottom w:val="single" w:sz="6" w:space="0" w:color="2A373A"/>
            </w:tcBorders>
            <w:tcMar>
              <w:top w:w="150" w:type="dxa"/>
              <w:left w:w="0" w:type="dxa"/>
              <w:bottom w:w="150" w:type="dxa"/>
              <w:right w:w="210" w:type="dxa"/>
            </w:tcMar>
            <w:hideMark/>
          </w:tcPr>
          <w:p w14:paraId="4EACF4BB" w14:textId="77777777" w:rsidR="007740C0" w:rsidRPr="007740C0" w:rsidRDefault="007740C0" w:rsidP="007740C0">
            <w:r w:rsidRPr="007740C0">
              <w:t>ASP.NET Core supports Negotiate/Kerberos natively (</w:t>
            </w:r>
            <w:proofErr w:type="spellStart"/>
            <w:proofErr w:type="gramStart"/>
            <w:r w:rsidRPr="007740C0">
              <w:t>Microsoft.AspNetCore.Authentication.Negotiate</w:t>
            </w:r>
            <w:proofErr w:type="spellEnd"/>
            <w:proofErr w:type="gramEnd"/>
            <w:r w:rsidRPr="007740C0">
              <w:t>) — this is a straightforward like</w:t>
            </w:r>
            <w:r w:rsidRPr="007740C0">
              <w:noBreakHyphen/>
              <w:t>for</w:t>
            </w:r>
            <w:r w:rsidRPr="007740C0">
              <w:noBreakHyphen/>
              <w:t>like swap, easier in .NET than it was in Java</w:t>
            </w:r>
          </w:p>
        </w:tc>
      </w:tr>
      <w:tr w:rsidR="007740C0" w:rsidRPr="007740C0" w14:paraId="5AE7F68B" w14:textId="77777777" w:rsidTr="007740C0">
        <w:tc>
          <w:tcPr>
            <w:tcW w:w="0" w:type="auto"/>
            <w:tcBorders>
              <w:bottom w:val="single" w:sz="6" w:space="0" w:color="2A373A"/>
            </w:tcBorders>
            <w:tcMar>
              <w:top w:w="150" w:type="dxa"/>
              <w:left w:w="0" w:type="dxa"/>
              <w:bottom w:w="150" w:type="dxa"/>
              <w:right w:w="210" w:type="dxa"/>
            </w:tcMar>
            <w:hideMark/>
          </w:tcPr>
          <w:p w14:paraId="0ABFA39B" w14:textId="77777777" w:rsidR="007740C0" w:rsidRPr="007740C0" w:rsidRDefault="007740C0" w:rsidP="007740C0">
            <w:r w:rsidRPr="007740C0">
              <w:t>SQL Server Reporting Services</w:t>
            </w:r>
          </w:p>
        </w:tc>
        <w:tc>
          <w:tcPr>
            <w:tcW w:w="0" w:type="auto"/>
            <w:tcBorders>
              <w:bottom w:val="single" w:sz="6" w:space="0" w:color="2A373A"/>
            </w:tcBorders>
            <w:tcMar>
              <w:top w:w="150" w:type="dxa"/>
              <w:left w:w="0" w:type="dxa"/>
              <w:bottom w:w="150" w:type="dxa"/>
              <w:right w:w="210" w:type="dxa"/>
            </w:tcMar>
            <w:hideMark/>
          </w:tcPr>
          <w:p w14:paraId="74F43604" w14:textId="77777777" w:rsidR="007740C0" w:rsidRPr="007740C0" w:rsidRDefault="007740C0" w:rsidP="007740C0">
            <w:r w:rsidRPr="007740C0">
              <w:t xml:space="preserve">Renders formatted client/risk reports (embedded </w:t>
            </w:r>
            <w:proofErr w:type="spellStart"/>
            <w:r w:rsidRPr="007740C0">
              <w:t>ReportViewer</w:t>
            </w:r>
            <w:proofErr w:type="spellEnd"/>
            <w:r w:rsidRPr="007740C0">
              <w:t xml:space="preserve"> URL)</w:t>
            </w:r>
          </w:p>
        </w:tc>
        <w:tc>
          <w:tcPr>
            <w:tcW w:w="0" w:type="auto"/>
            <w:tcBorders>
              <w:bottom w:val="single" w:sz="6" w:space="0" w:color="2A373A"/>
            </w:tcBorders>
            <w:tcMar>
              <w:top w:w="150" w:type="dxa"/>
              <w:left w:w="0" w:type="dxa"/>
              <w:bottom w:w="150" w:type="dxa"/>
              <w:right w:w="210" w:type="dxa"/>
            </w:tcMar>
            <w:hideMark/>
          </w:tcPr>
          <w:p w14:paraId="57C926F2" w14:textId="77777777" w:rsidR="007740C0" w:rsidRPr="007740C0" w:rsidRDefault="007740C0" w:rsidP="007740C0">
            <w:r w:rsidRPr="007740C0">
              <w:t>Can keep SSRS as</w:t>
            </w:r>
            <w:r w:rsidRPr="007740C0">
              <w:noBreakHyphen/>
              <w:t xml:space="preserve">is and embed the same viewer URL from </w:t>
            </w:r>
            <w:proofErr w:type="spellStart"/>
            <w:r w:rsidRPr="007740C0">
              <w:t>Blazor</w:t>
            </w:r>
            <w:proofErr w:type="spellEnd"/>
            <w:r w:rsidRPr="007740C0">
              <w:t>; no rewrite forced here</w:t>
            </w:r>
          </w:p>
        </w:tc>
      </w:tr>
      <w:tr w:rsidR="007740C0" w:rsidRPr="007740C0" w14:paraId="529F9366" w14:textId="77777777" w:rsidTr="007740C0">
        <w:tc>
          <w:tcPr>
            <w:tcW w:w="0" w:type="auto"/>
            <w:tcBorders>
              <w:bottom w:val="single" w:sz="6" w:space="0" w:color="2A373A"/>
            </w:tcBorders>
            <w:tcMar>
              <w:top w:w="150" w:type="dxa"/>
              <w:left w:w="0" w:type="dxa"/>
              <w:bottom w:w="150" w:type="dxa"/>
              <w:right w:w="210" w:type="dxa"/>
            </w:tcMar>
            <w:hideMark/>
          </w:tcPr>
          <w:p w14:paraId="0FEA0A2A" w14:textId="77777777" w:rsidR="007740C0" w:rsidRPr="007740C0" w:rsidRDefault="007740C0" w:rsidP="007740C0">
            <w:r w:rsidRPr="007740C0">
              <w:t>SharePoint web service</w:t>
            </w:r>
          </w:p>
        </w:tc>
        <w:tc>
          <w:tcPr>
            <w:tcW w:w="0" w:type="auto"/>
            <w:tcBorders>
              <w:bottom w:val="single" w:sz="6" w:space="0" w:color="2A373A"/>
            </w:tcBorders>
            <w:tcMar>
              <w:top w:w="150" w:type="dxa"/>
              <w:left w:w="0" w:type="dxa"/>
              <w:bottom w:w="150" w:type="dxa"/>
              <w:right w:w="210" w:type="dxa"/>
            </w:tcMar>
            <w:hideMark/>
          </w:tcPr>
          <w:p w14:paraId="2094B4AB" w14:textId="77777777" w:rsidR="007740C0" w:rsidRPr="007740C0" w:rsidRDefault="007740C0" w:rsidP="007740C0">
            <w:r w:rsidRPr="007740C0">
              <w:t>Document storage for client files</w:t>
            </w:r>
          </w:p>
        </w:tc>
        <w:tc>
          <w:tcPr>
            <w:tcW w:w="0" w:type="auto"/>
            <w:tcBorders>
              <w:bottom w:val="single" w:sz="6" w:space="0" w:color="2A373A"/>
            </w:tcBorders>
            <w:tcMar>
              <w:top w:w="150" w:type="dxa"/>
              <w:left w:w="0" w:type="dxa"/>
              <w:bottom w:w="150" w:type="dxa"/>
              <w:right w:w="210" w:type="dxa"/>
            </w:tcMar>
            <w:hideMark/>
          </w:tcPr>
          <w:p w14:paraId="03E3BB92" w14:textId="77777777" w:rsidR="007740C0" w:rsidRPr="007740C0" w:rsidRDefault="007740C0" w:rsidP="007740C0">
            <w:r w:rsidRPr="007740C0">
              <w:rPr>
                <w:b/>
                <w:bCs/>
              </w:rPr>
              <w:t>Stays</w:t>
            </w:r>
            <w:r w:rsidRPr="007740C0">
              <w:t> — still in active use, port it rather than retiring it</w:t>
            </w:r>
          </w:p>
        </w:tc>
      </w:tr>
      <w:tr w:rsidR="007740C0" w:rsidRPr="007740C0" w14:paraId="522B23B1" w14:textId="77777777" w:rsidTr="007740C0">
        <w:tc>
          <w:tcPr>
            <w:tcW w:w="0" w:type="auto"/>
            <w:tcBorders>
              <w:bottom w:val="single" w:sz="6" w:space="0" w:color="2A373A"/>
            </w:tcBorders>
            <w:tcMar>
              <w:top w:w="150" w:type="dxa"/>
              <w:left w:w="0" w:type="dxa"/>
              <w:bottom w:w="150" w:type="dxa"/>
              <w:right w:w="210" w:type="dxa"/>
            </w:tcMar>
            <w:hideMark/>
          </w:tcPr>
          <w:p w14:paraId="4EE69535" w14:textId="77777777" w:rsidR="007740C0" w:rsidRPr="007740C0" w:rsidRDefault="007740C0" w:rsidP="007740C0">
            <w:proofErr w:type="spellStart"/>
            <w:r w:rsidRPr="007740C0">
              <w:t>SafeWatch</w:t>
            </w:r>
            <w:proofErr w:type="spellEnd"/>
            <w:r w:rsidRPr="007740C0">
              <w:t xml:space="preserve"> (</w:t>
            </w:r>
            <w:proofErr w:type="spellStart"/>
            <w:r w:rsidRPr="007740C0">
              <w:t>Fircosoft</w:t>
            </w:r>
            <w:proofErr w:type="spellEnd"/>
            <w:r w:rsidRPr="007740C0">
              <w:t>) sanctions screening</w:t>
            </w:r>
          </w:p>
        </w:tc>
        <w:tc>
          <w:tcPr>
            <w:tcW w:w="0" w:type="auto"/>
            <w:tcBorders>
              <w:bottom w:val="single" w:sz="6" w:space="0" w:color="2A373A"/>
            </w:tcBorders>
            <w:tcMar>
              <w:top w:w="150" w:type="dxa"/>
              <w:left w:w="0" w:type="dxa"/>
              <w:bottom w:w="150" w:type="dxa"/>
              <w:right w:w="210" w:type="dxa"/>
            </w:tcMar>
            <w:hideMark/>
          </w:tcPr>
          <w:p w14:paraId="7EF6F455" w14:textId="77777777" w:rsidR="007740C0" w:rsidRPr="007740C0" w:rsidRDefault="007740C0" w:rsidP="007740C0">
            <w:r w:rsidRPr="007740C0">
              <w:t>PEP/sanctions list screening, gates the approval workflow</w:t>
            </w:r>
          </w:p>
        </w:tc>
        <w:tc>
          <w:tcPr>
            <w:tcW w:w="0" w:type="auto"/>
            <w:tcBorders>
              <w:bottom w:val="single" w:sz="6" w:space="0" w:color="2A373A"/>
            </w:tcBorders>
            <w:tcMar>
              <w:top w:w="150" w:type="dxa"/>
              <w:left w:w="0" w:type="dxa"/>
              <w:bottom w:w="150" w:type="dxa"/>
              <w:right w:w="210" w:type="dxa"/>
            </w:tcMar>
            <w:hideMark/>
          </w:tcPr>
          <w:p w14:paraId="6308582A" w14:textId="77777777" w:rsidR="007740C0" w:rsidRPr="007740C0" w:rsidRDefault="007740C0" w:rsidP="007740C0">
            <w:r w:rsidRPr="007740C0">
              <w:rPr>
                <w:b/>
                <w:bCs/>
              </w:rPr>
              <w:t>Out of scope for the initial build</w:t>
            </w:r>
            <w:r w:rsidRPr="007740C0">
              <w:t> — see §07/§08 for how this affects the workflow state machine</w:t>
            </w:r>
          </w:p>
        </w:tc>
      </w:tr>
      <w:tr w:rsidR="007740C0" w:rsidRPr="007740C0" w14:paraId="5D262794" w14:textId="77777777" w:rsidTr="007740C0">
        <w:tc>
          <w:tcPr>
            <w:tcW w:w="0" w:type="auto"/>
            <w:tcBorders>
              <w:bottom w:val="single" w:sz="6" w:space="0" w:color="2A373A"/>
            </w:tcBorders>
            <w:tcMar>
              <w:top w:w="150" w:type="dxa"/>
              <w:left w:w="0" w:type="dxa"/>
              <w:bottom w:w="150" w:type="dxa"/>
              <w:right w:w="210" w:type="dxa"/>
            </w:tcMar>
            <w:hideMark/>
          </w:tcPr>
          <w:p w14:paraId="5C050E5F" w14:textId="77777777" w:rsidR="007740C0" w:rsidRPr="007740C0" w:rsidRDefault="007740C0" w:rsidP="007740C0">
            <w:r w:rsidRPr="007740C0">
              <w:t>Upstream client</w:t>
            </w:r>
            <w:r w:rsidRPr="007740C0">
              <w:noBreakHyphen/>
              <w:t>master feed (HBOR core system)</w:t>
            </w:r>
          </w:p>
        </w:tc>
        <w:tc>
          <w:tcPr>
            <w:tcW w:w="0" w:type="auto"/>
            <w:tcBorders>
              <w:bottom w:val="single" w:sz="6" w:space="0" w:color="2A373A"/>
            </w:tcBorders>
            <w:tcMar>
              <w:top w:w="150" w:type="dxa"/>
              <w:left w:w="0" w:type="dxa"/>
              <w:bottom w:w="150" w:type="dxa"/>
              <w:right w:w="210" w:type="dxa"/>
            </w:tcMar>
            <w:hideMark/>
          </w:tcPr>
          <w:p w14:paraId="490540E2" w14:textId="77777777" w:rsidR="007740C0" w:rsidRPr="007740C0" w:rsidRDefault="007740C0" w:rsidP="007740C0">
            <w:r w:rsidRPr="007740C0">
              <w:t>Source of </w:t>
            </w:r>
            <w:proofErr w:type="spellStart"/>
            <w:r w:rsidRPr="007740C0">
              <w:t>HBOR_Klijent</w:t>
            </w:r>
            <w:proofErr w:type="spellEnd"/>
            <w:r w:rsidRPr="007740C0">
              <w:t> records</w:t>
            </w:r>
          </w:p>
        </w:tc>
        <w:tc>
          <w:tcPr>
            <w:tcW w:w="0" w:type="auto"/>
            <w:tcBorders>
              <w:bottom w:val="single" w:sz="6" w:space="0" w:color="2A373A"/>
            </w:tcBorders>
            <w:tcMar>
              <w:top w:w="150" w:type="dxa"/>
              <w:left w:w="0" w:type="dxa"/>
              <w:bottom w:w="150" w:type="dxa"/>
              <w:right w:w="210" w:type="dxa"/>
            </w:tcMar>
            <w:hideMark/>
          </w:tcPr>
          <w:p w14:paraId="6996E6EE" w14:textId="77777777" w:rsidR="007740C0" w:rsidRPr="007740C0" w:rsidRDefault="007740C0" w:rsidP="007740C0">
            <w:r w:rsidRPr="007740C0">
              <w:t>HBORIS is confirmed as a real linked server in production. Direction is to move </w:t>
            </w:r>
            <w:r w:rsidRPr="007740C0">
              <w:rPr>
                <w:b/>
                <w:bCs/>
              </w:rPr>
              <w:t>away</w:t>
            </w:r>
            <w:r w:rsidRPr="007740C0">
              <w:t> from querying it as a cross</w:t>
            </w:r>
            <w:r w:rsidRPr="007740C0">
              <w:noBreakHyphen/>
              <w:t xml:space="preserve">database view and read it via an API instead — whether that's an API HBOR already exposes, or a facade API </w:t>
            </w:r>
            <w:proofErr w:type="spellStart"/>
            <w:r w:rsidRPr="007740C0">
              <w:t>Trikord</w:t>
            </w:r>
            <w:proofErr w:type="spellEnd"/>
            <w:r w:rsidRPr="007740C0">
              <w:t xml:space="preserve"> builds in front of the linked server, is still open (§08)</w:t>
            </w:r>
          </w:p>
        </w:tc>
      </w:tr>
    </w:tbl>
    <w:p w14:paraId="1BC940EB" w14:textId="77777777" w:rsidR="007740C0" w:rsidRPr="007740C0" w:rsidRDefault="007740C0" w:rsidP="007740C0">
      <w:r w:rsidRPr="007740C0">
        <w:t>04</w:t>
      </w:r>
    </w:p>
    <w:p w14:paraId="12CC3D48" w14:textId="77777777" w:rsidR="007740C0" w:rsidRPr="007740C0" w:rsidRDefault="007740C0" w:rsidP="007740C0">
      <w:pPr>
        <w:rPr>
          <w:b/>
          <w:bCs/>
        </w:rPr>
      </w:pPr>
      <w:r w:rsidRPr="007740C0">
        <w:rPr>
          <w:b/>
          <w:bCs/>
        </w:rPr>
        <w:t>Live schema audit</w:t>
      </w:r>
    </w:p>
    <w:p w14:paraId="4057B8B1" w14:textId="77777777" w:rsidR="007740C0" w:rsidRPr="007740C0" w:rsidRDefault="007740C0" w:rsidP="007740C0">
      <w:r w:rsidRPr="007740C0">
        <w:t>Connected directly to the local dev copy of the database rather than continuing to infer structure from the Java entity classes — those only show the columns each class happens to touch, not the full picture.</w:t>
      </w:r>
    </w:p>
    <w:tbl>
      <w:tblPr>
        <w:tblW w:w="11700" w:type="dxa"/>
        <w:tblCellMar>
          <w:top w:w="15" w:type="dxa"/>
          <w:left w:w="15" w:type="dxa"/>
          <w:bottom w:w="15" w:type="dxa"/>
          <w:right w:w="15" w:type="dxa"/>
        </w:tblCellMar>
        <w:tblLook w:val="04A0" w:firstRow="1" w:lastRow="0" w:firstColumn="1" w:lastColumn="0" w:noHBand="0" w:noVBand="1"/>
      </w:tblPr>
      <w:tblGrid>
        <w:gridCol w:w="2930"/>
        <w:gridCol w:w="8770"/>
      </w:tblGrid>
      <w:tr w:rsidR="007740C0" w:rsidRPr="007740C0" w14:paraId="1C6F8DA3" w14:textId="77777777" w:rsidTr="007740C0">
        <w:tc>
          <w:tcPr>
            <w:tcW w:w="0" w:type="auto"/>
            <w:tcBorders>
              <w:bottom w:val="single" w:sz="6" w:space="0" w:color="2A373A"/>
            </w:tcBorders>
            <w:tcMar>
              <w:top w:w="120" w:type="dxa"/>
              <w:left w:w="0" w:type="dxa"/>
              <w:bottom w:w="120" w:type="dxa"/>
              <w:right w:w="210" w:type="dxa"/>
            </w:tcMar>
            <w:vAlign w:val="center"/>
            <w:hideMark/>
          </w:tcPr>
          <w:p w14:paraId="0055275C" w14:textId="77777777" w:rsidR="007740C0" w:rsidRPr="007740C0" w:rsidRDefault="007740C0" w:rsidP="007740C0">
            <w:r w:rsidRPr="007740C0">
              <w:t>Metric</w:t>
            </w:r>
          </w:p>
        </w:tc>
        <w:tc>
          <w:tcPr>
            <w:tcW w:w="0" w:type="auto"/>
            <w:tcBorders>
              <w:bottom w:val="single" w:sz="6" w:space="0" w:color="2A373A"/>
            </w:tcBorders>
            <w:tcMar>
              <w:top w:w="120" w:type="dxa"/>
              <w:left w:w="0" w:type="dxa"/>
              <w:bottom w:w="120" w:type="dxa"/>
              <w:right w:w="210" w:type="dxa"/>
            </w:tcMar>
            <w:vAlign w:val="center"/>
            <w:hideMark/>
          </w:tcPr>
          <w:p w14:paraId="5DD3ABB8" w14:textId="77777777" w:rsidR="007740C0" w:rsidRPr="007740C0" w:rsidRDefault="007740C0" w:rsidP="007740C0">
            <w:r w:rsidRPr="007740C0">
              <w:t>Value</w:t>
            </w:r>
          </w:p>
        </w:tc>
      </w:tr>
      <w:tr w:rsidR="007740C0" w:rsidRPr="007740C0" w14:paraId="69483E5F" w14:textId="77777777" w:rsidTr="007740C0">
        <w:tc>
          <w:tcPr>
            <w:tcW w:w="0" w:type="auto"/>
            <w:tcBorders>
              <w:bottom w:val="single" w:sz="6" w:space="0" w:color="2A373A"/>
            </w:tcBorders>
            <w:tcMar>
              <w:top w:w="150" w:type="dxa"/>
              <w:left w:w="0" w:type="dxa"/>
              <w:bottom w:w="150" w:type="dxa"/>
              <w:right w:w="210" w:type="dxa"/>
            </w:tcMar>
            <w:hideMark/>
          </w:tcPr>
          <w:p w14:paraId="7E995544" w14:textId="77777777" w:rsidR="007740C0" w:rsidRPr="007740C0" w:rsidRDefault="007740C0" w:rsidP="007740C0">
            <w:r w:rsidRPr="007740C0">
              <w:t>Base tables</w:t>
            </w:r>
          </w:p>
        </w:tc>
        <w:tc>
          <w:tcPr>
            <w:tcW w:w="0" w:type="auto"/>
            <w:tcBorders>
              <w:bottom w:val="single" w:sz="6" w:space="0" w:color="2A373A"/>
            </w:tcBorders>
            <w:tcMar>
              <w:top w:w="150" w:type="dxa"/>
              <w:left w:w="0" w:type="dxa"/>
              <w:bottom w:w="150" w:type="dxa"/>
              <w:right w:w="210" w:type="dxa"/>
            </w:tcMar>
            <w:hideMark/>
          </w:tcPr>
          <w:p w14:paraId="5B69149A" w14:textId="77777777" w:rsidR="007740C0" w:rsidRPr="007740C0" w:rsidRDefault="007740C0" w:rsidP="007740C0">
            <w:r w:rsidRPr="007740C0">
              <w:t>50</w:t>
            </w:r>
          </w:p>
        </w:tc>
      </w:tr>
      <w:tr w:rsidR="007740C0" w:rsidRPr="007740C0" w14:paraId="6A3ADE97" w14:textId="77777777" w:rsidTr="007740C0">
        <w:tc>
          <w:tcPr>
            <w:tcW w:w="0" w:type="auto"/>
            <w:tcBorders>
              <w:bottom w:val="single" w:sz="6" w:space="0" w:color="2A373A"/>
            </w:tcBorders>
            <w:tcMar>
              <w:top w:w="150" w:type="dxa"/>
              <w:left w:w="0" w:type="dxa"/>
              <w:bottom w:w="150" w:type="dxa"/>
              <w:right w:w="210" w:type="dxa"/>
            </w:tcMar>
            <w:hideMark/>
          </w:tcPr>
          <w:p w14:paraId="138DA7F8" w14:textId="77777777" w:rsidR="007740C0" w:rsidRPr="007740C0" w:rsidRDefault="007740C0" w:rsidP="007740C0">
            <w:r w:rsidRPr="007740C0">
              <w:t>Views</w:t>
            </w:r>
          </w:p>
        </w:tc>
        <w:tc>
          <w:tcPr>
            <w:tcW w:w="0" w:type="auto"/>
            <w:tcBorders>
              <w:bottom w:val="single" w:sz="6" w:space="0" w:color="2A373A"/>
            </w:tcBorders>
            <w:tcMar>
              <w:top w:w="150" w:type="dxa"/>
              <w:left w:w="0" w:type="dxa"/>
              <w:bottom w:w="150" w:type="dxa"/>
              <w:right w:w="210" w:type="dxa"/>
            </w:tcMar>
            <w:hideMark/>
          </w:tcPr>
          <w:p w14:paraId="3C718652" w14:textId="77777777" w:rsidR="007740C0" w:rsidRPr="007740C0" w:rsidRDefault="007740C0" w:rsidP="007740C0">
            <w:r w:rsidRPr="007740C0">
              <w:t>42</w:t>
            </w:r>
          </w:p>
        </w:tc>
      </w:tr>
      <w:tr w:rsidR="007740C0" w:rsidRPr="007740C0" w14:paraId="6B5E4EF9" w14:textId="77777777" w:rsidTr="007740C0">
        <w:tc>
          <w:tcPr>
            <w:tcW w:w="0" w:type="auto"/>
            <w:tcBorders>
              <w:bottom w:val="single" w:sz="6" w:space="0" w:color="2A373A"/>
            </w:tcBorders>
            <w:tcMar>
              <w:top w:w="150" w:type="dxa"/>
              <w:left w:w="0" w:type="dxa"/>
              <w:bottom w:w="150" w:type="dxa"/>
              <w:right w:w="210" w:type="dxa"/>
            </w:tcMar>
            <w:hideMark/>
          </w:tcPr>
          <w:p w14:paraId="6F7A28C9" w14:textId="77777777" w:rsidR="007740C0" w:rsidRPr="007740C0" w:rsidRDefault="007740C0" w:rsidP="007740C0">
            <w:r w:rsidRPr="007740C0">
              <w:lastRenderedPageBreak/>
              <w:t>Foreign</w:t>
            </w:r>
            <w:r w:rsidRPr="007740C0">
              <w:noBreakHyphen/>
              <w:t>key constraints, total</w:t>
            </w:r>
          </w:p>
        </w:tc>
        <w:tc>
          <w:tcPr>
            <w:tcW w:w="0" w:type="auto"/>
            <w:tcBorders>
              <w:bottom w:val="single" w:sz="6" w:space="0" w:color="2A373A"/>
            </w:tcBorders>
            <w:tcMar>
              <w:top w:w="150" w:type="dxa"/>
              <w:left w:w="0" w:type="dxa"/>
              <w:bottom w:w="150" w:type="dxa"/>
              <w:right w:w="210" w:type="dxa"/>
            </w:tcMar>
            <w:hideMark/>
          </w:tcPr>
          <w:p w14:paraId="3C7B905F" w14:textId="77777777" w:rsidR="007740C0" w:rsidRPr="007740C0" w:rsidRDefault="007740C0" w:rsidP="007740C0">
            <w:r w:rsidRPr="007740C0">
              <w:t>9</w:t>
            </w:r>
          </w:p>
        </w:tc>
      </w:tr>
      <w:tr w:rsidR="007740C0" w:rsidRPr="007740C0" w14:paraId="3E2D8BD6" w14:textId="77777777" w:rsidTr="007740C0">
        <w:tc>
          <w:tcPr>
            <w:tcW w:w="0" w:type="auto"/>
            <w:tcBorders>
              <w:bottom w:val="single" w:sz="6" w:space="0" w:color="2A373A"/>
            </w:tcBorders>
            <w:tcMar>
              <w:top w:w="150" w:type="dxa"/>
              <w:left w:w="0" w:type="dxa"/>
              <w:bottom w:w="150" w:type="dxa"/>
              <w:right w:w="210" w:type="dxa"/>
            </w:tcMar>
            <w:hideMark/>
          </w:tcPr>
          <w:p w14:paraId="1C0884B8" w14:textId="77777777" w:rsidR="007740C0" w:rsidRPr="007740C0" w:rsidRDefault="007740C0" w:rsidP="007740C0">
            <w:r w:rsidRPr="007740C0">
              <w:t>Tables with no primary key</w:t>
            </w:r>
          </w:p>
        </w:tc>
        <w:tc>
          <w:tcPr>
            <w:tcW w:w="0" w:type="auto"/>
            <w:tcBorders>
              <w:bottom w:val="single" w:sz="6" w:space="0" w:color="2A373A"/>
            </w:tcBorders>
            <w:tcMar>
              <w:top w:w="150" w:type="dxa"/>
              <w:left w:w="0" w:type="dxa"/>
              <w:bottom w:w="150" w:type="dxa"/>
              <w:right w:w="210" w:type="dxa"/>
            </w:tcMar>
            <w:hideMark/>
          </w:tcPr>
          <w:p w14:paraId="0DD84DCE" w14:textId="77777777" w:rsidR="007740C0" w:rsidRPr="007740C0" w:rsidRDefault="007740C0" w:rsidP="007740C0">
            <w:r w:rsidRPr="007740C0">
              <w:t>3</w:t>
            </w:r>
          </w:p>
        </w:tc>
      </w:tr>
      <w:tr w:rsidR="007740C0" w:rsidRPr="007740C0" w14:paraId="4BEDA595" w14:textId="77777777" w:rsidTr="007740C0">
        <w:tc>
          <w:tcPr>
            <w:tcW w:w="0" w:type="auto"/>
            <w:tcBorders>
              <w:bottom w:val="single" w:sz="6" w:space="0" w:color="2A373A"/>
            </w:tcBorders>
            <w:tcMar>
              <w:top w:w="150" w:type="dxa"/>
              <w:left w:w="0" w:type="dxa"/>
              <w:bottom w:w="150" w:type="dxa"/>
              <w:right w:w="210" w:type="dxa"/>
            </w:tcMar>
            <w:hideMark/>
          </w:tcPr>
          <w:p w14:paraId="745A6CD4" w14:textId="77777777" w:rsidR="007740C0" w:rsidRPr="007740C0" w:rsidRDefault="007740C0" w:rsidP="007740C0">
            <w:r w:rsidRPr="007740C0">
              <w:t>Sample data present</w:t>
            </w:r>
          </w:p>
        </w:tc>
        <w:tc>
          <w:tcPr>
            <w:tcW w:w="0" w:type="auto"/>
            <w:tcBorders>
              <w:bottom w:val="single" w:sz="6" w:space="0" w:color="2A373A"/>
            </w:tcBorders>
            <w:tcMar>
              <w:top w:w="150" w:type="dxa"/>
              <w:left w:w="0" w:type="dxa"/>
              <w:bottom w:w="150" w:type="dxa"/>
              <w:right w:w="210" w:type="dxa"/>
            </w:tcMar>
            <w:hideMark/>
          </w:tcPr>
          <w:p w14:paraId="4C0DE3EC" w14:textId="77777777" w:rsidR="007740C0" w:rsidRPr="007740C0" w:rsidRDefault="007740C0" w:rsidP="007740C0">
            <w:r w:rsidRPr="007740C0">
              <w:t>Yes — 80 clients, 411 risk</w:t>
            </w:r>
            <w:r w:rsidRPr="007740C0">
              <w:noBreakHyphen/>
              <w:t xml:space="preserve">questionnaire answers, 371 </w:t>
            </w:r>
            <w:proofErr w:type="spellStart"/>
            <w:r w:rsidRPr="007740C0">
              <w:t>SafeWatch</w:t>
            </w:r>
            <w:proofErr w:type="spellEnd"/>
            <w:r w:rsidRPr="007740C0">
              <w:t xml:space="preserve"> alerts, 789 operation</w:t>
            </w:r>
            <w:r w:rsidRPr="007740C0">
              <w:noBreakHyphen/>
              <w:t>log rows</w:t>
            </w:r>
          </w:p>
        </w:tc>
      </w:tr>
    </w:tbl>
    <w:p w14:paraId="76F61E97" w14:textId="77777777" w:rsidR="007740C0" w:rsidRPr="007740C0" w:rsidRDefault="007740C0" w:rsidP="007740C0">
      <w:pPr>
        <w:rPr>
          <w:b/>
          <w:bCs/>
        </w:rPr>
      </w:pPr>
      <w:r w:rsidRPr="007740C0">
        <w:rPr>
          <w:b/>
          <w:bCs/>
        </w:rPr>
        <w:t xml:space="preserve">What </w:t>
      </w:r>
      <w:proofErr w:type="gramStart"/>
      <w:r w:rsidRPr="007740C0">
        <w:rPr>
          <w:b/>
          <w:bCs/>
        </w:rPr>
        <w:t>that changes</w:t>
      </w:r>
      <w:proofErr w:type="gramEnd"/>
      <w:r w:rsidRPr="007740C0">
        <w:rPr>
          <w:b/>
          <w:bCs/>
        </w:rPr>
        <w:t xml:space="preserve"> about the plan</w:t>
      </w:r>
    </w:p>
    <w:p w14:paraId="5B008269" w14:textId="77777777" w:rsidR="007740C0" w:rsidRPr="007740C0" w:rsidRDefault="007740C0" w:rsidP="007740C0">
      <w:pPr>
        <w:numPr>
          <w:ilvl w:val="0"/>
          <w:numId w:val="4"/>
        </w:numPr>
      </w:pPr>
      <w:r w:rsidRPr="007740C0">
        <w:rPr>
          <w:b/>
          <w:bCs/>
        </w:rPr>
        <w:t>Referential integrity is enforced by application code, not the database.</w:t>
      </w:r>
      <w:r w:rsidRPr="007740C0">
        <w:t xml:space="preserve"> Only 9 FK constraints exist across all 50 tables — relationships like </w:t>
      </w:r>
      <w:proofErr w:type="spellStart"/>
      <w:r w:rsidRPr="007740C0">
        <w:t>client→owner</w:t>
      </w:r>
      <w:proofErr w:type="spellEnd"/>
      <w:r w:rsidRPr="007740C0">
        <w:t xml:space="preserve">, </w:t>
      </w:r>
      <w:proofErr w:type="spellStart"/>
      <w:r w:rsidRPr="007740C0">
        <w:t>client→risk</w:t>
      </w:r>
      <w:r w:rsidRPr="007740C0">
        <w:noBreakHyphen/>
        <w:t>answer</w:t>
      </w:r>
      <w:proofErr w:type="spellEnd"/>
      <w:r w:rsidRPr="007740C0">
        <w:t xml:space="preserve">, or </w:t>
      </w:r>
      <w:proofErr w:type="spellStart"/>
      <w:r w:rsidRPr="007740C0">
        <w:t>alert→client</w:t>
      </w:r>
      <w:proofErr w:type="spellEnd"/>
      <w:r w:rsidRPr="007740C0">
        <w:t xml:space="preserve"> that are obvious from the Java code aren't backed by real constraints in SQL Server. The new </w:t>
      </w:r>
      <w:proofErr w:type="spellStart"/>
      <w:r w:rsidRPr="007740C0">
        <w:t>DataAccess</w:t>
      </w:r>
      <w:proofErr w:type="spellEnd"/>
      <w:r w:rsidRPr="007740C0">
        <w:t xml:space="preserve"> layer can't lean on cascade behavior or DB</w:t>
      </w:r>
      <w:r w:rsidRPr="007740C0">
        <w:noBreakHyphen/>
        <w:t>level integrity; it has to enforce these relationships itself. Worth proposing the missing FKs get added as a low</w:t>
      </w:r>
      <w:r w:rsidRPr="007740C0">
        <w:noBreakHyphen/>
        <w:t>risk, purely additive change even under "keep schema as</w:t>
      </w:r>
      <w:r w:rsidRPr="007740C0">
        <w:noBreakHyphen/>
        <w:t>is" — it doesn't rename or restructure anything.</w:t>
      </w:r>
    </w:p>
    <w:p w14:paraId="3D97E437" w14:textId="77777777" w:rsidR="007740C0" w:rsidRPr="007740C0" w:rsidRDefault="007740C0" w:rsidP="007740C0">
      <w:pPr>
        <w:numPr>
          <w:ilvl w:val="0"/>
          <w:numId w:val="4"/>
        </w:numPr>
      </w:pPr>
      <w:r w:rsidRPr="007740C0">
        <w:rPr>
          <w:b/>
          <w:bCs/>
        </w:rPr>
        <w:t>Three tables have no primary key at all:</w:t>
      </w:r>
      <w:r w:rsidRPr="007740C0">
        <w:t> </w:t>
      </w:r>
      <w:proofErr w:type="spellStart"/>
      <w:r w:rsidRPr="007740C0">
        <w:t>A_ISRole_St</w:t>
      </w:r>
      <w:proofErr w:type="spellEnd"/>
      <w:r w:rsidRPr="007740C0">
        <w:t>, </w:t>
      </w:r>
      <w:proofErr w:type="spellStart"/>
      <w:r w:rsidRPr="007740C0">
        <w:t>CL_MatPod_Compare</w:t>
      </w:r>
      <w:proofErr w:type="spellEnd"/>
      <w:r w:rsidRPr="007740C0">
        <w:t>, and </w:t>
      </w:r>
      <w:proofErr w:type="spellStart"/>
      <w:r w:rsidRPr="007740C0">
        <w:t>CL_Task_Interval_Names</w:t>
      </w:r>
      <w:proofErr w:type="spellEnd"/>
      <w:r w:rsidRPr="007740C0">
        <w:t>. </w:t>
      </w:r>
      <w:proofErr w:type="spellStart"/>
      <w:r w:rsidRPr="007740C0">
        <w:t>CL_MatPod_Compare</w:t>
      </w:r>
      <w:proofErr w:type="spellEnd"/>
      <w:r w:rsidRPr="007740C0">
        <w:t> is not a minor table — it's the one backing the maker</w:t>
      </w:r>
      <w:r w:rsidRPr="007740C0">
        <w:noBreakHyphen/>
        <w:t>checker master</w:t>
      </w:r>
      <w:r w:rsidRPr="007740C0">
        <w:noBreakHyphen/>
        <w:t>data</w:t>
      </w:r>
      <w:r w:rsidRPr="007740C0">
        <w:noBreakHyphen/>
        <w:t>change workflow (see below), so this needs a real PK before Dapper repositories are built against it.</w:t>
      </w:r>
    </w:p>
    <w:p w14:paraId="071AE54E" w14:textId="77777777" w:rsidR="007740C0" w:rsidRPr="007740C0" w:rsidRDefault="007740C0" w:rsidP="007740C0">
      <w:pPr>
        <w:numPr>
          <w:ilvl w:val="0"/>
          <w:numId w:val="4"/>
        </w:numPr>
      </w:pPr>
      <w:r w:rsidRPr="007740C0">
        <w:rPr>
          <w:b/>
          <w:bCs/>
        </w:rPr>
        <w:t>No concurrency</w:t>
      </w:r>
      <w:r w:rsidRPr="007740C0">
        <w:rPr>
          <w:b/>
          <w:bCs/>
        </w:rPr>
        <w:noBreakHyphen/>
        <w:t>token column exists anywhere</w:t>
      </w:r>
      <w:r w:rsidRPr="007740C0">
        <w:t> in the schema (only two unrelated </w:t>
      </w:r>
      <w:proofErr w:type="spellStart"/>
      <w:r w:rsidRPr="007740C0">
        <w:t>RecVersion</w:t>
      </w:r>
      <w:proofErr w:type="spellEnd"/>
      <w:r w:rsidRPr="007740C0">
        <w:t xml:space="preserve"> int columns on the </w:t>
      </w:r>
      <w:proofErr w:type="spellStart"/>
      <w:r w:rsidRPr="007740C0">
        <w:t>SafeWatch</w:t>
      </w:r>
      <w:proofErr w:type="spellEnd"/>
      <w:r w:rsidRPr="007740C0">
        <w:t xml:space="preserve"> tables). </w:t>
      </w:r>
      <w:r w:rsidRPr="007740C0">
        <w:rPr>
          <w:b/>
          <w:bCs/>
        </w:rPr>
        <w:t>Decided:</w:t>
      </w:r>
      <w:r w:rsidRPr="007740C0">
        <w:t> add a </w:t>
      </w:r>
      <w:proofErr w:type="spellStart"/>
      <w:r w:rsidRPr="007740C0">
        <w:t>row_version</w:t>
      </w:r>
      <w:proofErr w:type="spellEnd"/>
      <w:r w:rsidRPr="007740C0">
        <w:t> column to concurrency</w:t>
      </w:r>
      <w:r w:rsidRPr="007740C0">
        <w:noBreakHyphen/>
        <w:t>controlled tables (</w:t>
      </w:r>
      <w:proofErr w:type="spellStart"/>
      <w:r w:rsidRPr="007740C0">
        <w:t>CL_Clnt</w:t>
      </w:r>
      <w:proofErr w:type="spellEnd"/>
      <w:r w:rsidRPr="007740C0">
        <w:t>, the ownership tables, etc.) — purely additive, no rename. One correction worth flagging: </w:t>
      </w:r>
      <w:proofErr w:type="spellStart"/>
      <w:r w:rsidRPr="007740C0">
        <w:t>row_version</w:t>
      </w:r>
      <w:proofErr w:type="spellEnd"/>
      <w:r w:rsidRPr="007740C0">
        <w:t xml:space="preserve"> + WHERE </w:t>
      </w:r>
      <w:proofErr w:type="spellStart"/>
      <w:r w:rsidRPr="007740C0">
        <w:t>row_version</w:t>
      </w:r>
      <w:proofErr w:type="spellEnd"/>
      <w:r w:rsidRPr="007740C0">
        <w:t xml:space="preserve"> = @RowVersion is this project's </w:t>
      </w:r>
      <w:r w:rsidRPr="007740C0">
        <w:rPr>
          <w:b/>
          <w:bCs/>
        </w:rPr>
        <w:t>optimistic</w:t>
      </w:r>
      <w:r w:rsidRPr="007740C0">
        <w:noBreakHyphen/>
        <w:t>locking pattern (Pattern 1) — the pessimistic mechanism is the separate edit</w:t>
      </w:r>
      <w:r w:rsidRPr="007740C0">
        <w:noBreakHyphen/>
        <w:t>session advisory lock replacing </w:t>
      </w:r>
      <w:proofErr w:type="spellStart"/>
      <w:r w:rsidRPr="007740C0">
        <w:t>A_Object_Locks</w:t>
      </w:r>
      <w:proofErr w:type="spellEnd"/>
      <w:r w:rsidRPr="007740C0">
        <w:t> (Pattern 2), which stays as already planned. Both are being added; they're just two different, complementary controls, not the same one.</w:t>
      </w:r>
    </w:p>
    <w:p w14:paraId="2DDB9437" w14:textId="77777777" w:rsidR="007740C0" w:rsidRPr="007740C0" w:rsidRDefault="007740C0" w:rsidP="007740C0">
      <w:pPr>
        <w:numPr>
          <w:ilvl w:val="0"/>
          <w:numId w:val="4"/>
        </w:numPr>
      </w:pPr>
      <w:r w:rsidRPr="007740C0">
        <w:rPr>
          <w:b/>
          <w:bCs/>
        </w:rPr>
        <w:t>Multi</w:t>
      </w:r>
      <w:r w:rsidRPr="007740C0">
        <w:rPr>
          <w:b/>
          <w:bCs/>
        </w:rPr>
        <w:noBreakHyphen/>
        <w:t>tenancy is planned for the future:</w:t>
      </w:r>
      <w:r w:rsidRPr="007740C0">
        <w:t> a </w:t>
      </w:r>
      <w:proofErr w:type="spellStart"/>
      <w:r w:rsidRPr="007740C0">
        <w:t>tenant_id</w:t>
      </w:r>
      <w:proofErr w:type="spellEnd"/>
      <w:r w:rsidRPr="007740C0">
        <w:t> column will be added to relevant tables now, even though the app is single</w:t>
      </w:r>
      <w:r w:rsidRPr="007740C0">
        <w:noBreakHyphen/>
        <w:t>tenant today, so it isn't a retrofit later. This is a shared</w:t>
      </w:r>
      <w:r w:rsidRPr="007740C0">
        <w:noBreakHyphen/>
        <w:t>schema/discriminator</w:t>
      </w:r>
      <w:r w:rsidRPr="007740C0">
        <w:noBreakHyphen/>
        <w:t>column model — every tenant</w:t>
      </w:r>
      <w:r w:rsidRPr="007740C0">
        <w:noBreakHyphen/>
        <w:t>scoped repository query filters by the current tenant, resolved server</w:t>
      </w:r>
      <w:r w:rsidRPr="007740C0">
        <w:noBreakHyphen/>
        <w:t>side from the authenticated user/claims, never taken from client input.</w:t>
      </w:r>
    </w:p>
    <w:p w14:paraId="5BD1C244" w14:textId="77777777" w:rsidR="007740C0" w:rsidRPr="007740C0" w:rsidRDefault="007740C0" w:rsidP="007740C0">
      <w:pPr>
        <w:numPr>
          <w:ilvl w:val="0"/>
          <w:numId w:val="4"/>
        </w:numPr>
      </w:pPr>
      <w:proofErr w:type="spellStart"/>
      <w:r w:rsidRPr="007740C0">
        <w:rPr>
          <w:b/>
          <w:bCs/>
        </w:rPr>
        <w:t>A_Usr.Pwd</w:t>
      </w:r>
      <w:proofErr w:type="spellEnd"/>
      <w:r w:rsidRPr="007740C0">
        <w:rPr>
          <w:b/>
          <w:bCs/>
        </w:rPr>
        <w:t> is </w:t>
      </w:r>
      <w:proofErr w:type="gramStart"/>
      <w:r w:rsidRPr="007740C0">
        <w:rPr>
          <w:b/>
          <w:bCs/>
        </w:rPr>
        <w:t>varchar(</w:t>
      </w:r>
      <w:proofErr w:type="gramEnd"/>
      <w:r w:rsidRPr="007740C0">
        <w:rPr>
          <w:b/>
          <w:bCs/>
        </w:rPr>
        <w:t>20), storing the password itself.</w:t>
      </w:r>
      <w:r w:rsidRPr="007740C0">
        <w:t> Confirms the plaintext</w:t>
      </w:r>
      <w:r w:rsidRPr="007740C0">
        <w:noBreakHyphen/>
        <w:t>password finding below is current, not dead code — and a real hash won't fit in 20 characters, so the new Users table needs a wider column regardless.</w:t>
      </w:r>
    </w:p>
    <w:p w14:paraId="1916A510" w14:textId="77777777" w:rsidR="007740C0" w:rsidRPr="007740C0" w:rsidRDefault="007740C0" w:rsidP="007740C0">
      <w:pPr>
        <w:numPr>
          <w:ilvl w:val="0"/>
          <w:numId w:val="4"/>
        </w:numPr>
      </w:pPr>
      <w:proofErr w:type="spellStart"/>
      <w:r w:rsidRPr="007740C0">
        <w:rPr>
          <w:b/>
          <w:bCs/>
        </w:rPr>
        <w:t>A_Object_Locks</w:t>
      </w:r>
      <w:proofErr w:type="spellEnd"/>
      <w:r w:rsidRPr="007740C0">
        <w:t> (the pessimistic edit</w:t>
      </w:r>
      <w:r w:rsidRPr="007740C0">
        <w:noBreakHyphen/>
        <w:t>lock table) has exactly the columns needed to reimplement the same behavior in .NET: </w:t>
      </w:r>
      <w:proofErr w:type="spellStart"/>
      <w:r w:rsidRPr="007740C0">
        <w:t>Object_Id</w:t>
      </w:r>
      <w:proofErr w:type="spellEnd"/>
      <w:r w:rsidRPr="007740C0">
        <w:t xml:space="preserve">, </w:t>
      </w:r>
      <w:proofErr w:type="spellStart"/>
      <w:r w:rsidRPr="007740C0">
        <w:t>Object_Class</w:t>
      </w:r>
      <w:proofErr w:type="spellEnd"/>
      <w:r w:rsidRPr="007740C0">
        <w:t xml:space="preserve">, </w:t>
      </w:r>
      <w:proofErr w:type="spellStart"/>
      <w:r w:rsidRPr="007740C0">
        <w:t>Object_Name</w:t>
      </w:r>
      <w:proofErr w:type="spellEnd"/>
      <w:r w:rsidRPr="007740C0">
        <w:t xml:space="preserve">, </w:t>
      </w:r>
      <w:proofErr w:type="spellStart"/>
      <w:r w:rsidRPr="007740C0">
        <w:t>User_Id</w:t>
      </w:r>
      <w:proofErr w:type="spellEnd"/>
      <w:r w:rsidRPr="007740C0">
        <w:t xml:space="preserve">, </w:t>
      </w:r>
      <w:proofErr w:type="spellStart"/>
      <w:r w:rsidRPr="007740C0">
        <w:t>Locked_At</w:t>
      </w:r>
      <w:proofErr w:type="spellEnd"/>
      <w:r w:rsidRPr="007740C0">
        <w:t xml:space="preserve">, </w:t>
      </w:r>
      <w:proofErr w:type="spellStart"/>
      <w:r w:rsidRPr="007740C0">
        <w:t>Computer_Name</w:t>
      </w:r>
      <w:proofErr w:type="spellEnd"/>
      <w:r w:rsidRPr="007740C0">
        <w:t>.</w:t>
      </w:r>
    </w:p>
    <w:p w14:paraId="14C7220B" w14:textId="77777777" w:rsidR="007740C0" w:rsidRPr="007740C0" w:rsidRDefault="007740C0" w:rsidP="007740C0">
      <w:pPr>
        <w:numPr>
          <w:ilvl w:val="0"/>
          <w:numId w:val="4"/>
        </w:numPr>
      </w:pPr>
      <w:proofErr w:type="spellStart"/>
      <w:r w:rsidRPr="007740C0">
        <w:rPr>
          <w:b/>
          <w:bCs/>
        </w:rPr>
        <w:lastRenderedPageBreak/>
        <w:t>CL_MatPod_Compare</w:t>
      </w:r>
      <w:proofErr w:type="spellEnd"/>
      <w:r w:rsidRPr="007740C0">
        <w:t> is literally a field</w:t>
      </w:r>
      <w:r w:rsidRPr="007740C0">
        <w:noBreakHyphen/>
        <w:t>by</w:t>
      </w:r>
      <w:r w:rsidRPr="007740C0">
        <w:noBreakHyphen/>
        <w:t xml:space="preserve">field diff table — every compared attribute has a _K (local/KYC) and _H (HBOR/source) column, plus Accepted / </w:t>
      </w:r>
      <w:proofErr w:type="spellStart"/>
      <w:r w:rsidRPr="007740C0">
        <w:t>DateAccepted</w:t>
      </w:r>
      <w:proofErr w:type="spellEnd"/>
      <w:r w:rsidRPr="007740C0">
        <w:t xml:space="preserve"> / </w:t>
      </w:r>
      <w:proofErr w:type="spellStart"/>
      <w:r w:rsidRPr="007740C0">
        <w:t>AcceptedBy</w:t>
      </w:r>
      <w:proofErr w:type="spellEnd"/>
      <w:r w:rsidRPr="007740C0">
        <w:t xml:space="preserve"> / </w:t>
      </w:r>
      <w:proofErr w:type="spellStart"/>
      <w:r w:rsidRPr="007740C0">
        <w:t>DoNotCheck</w:t>
      </w:r>
      <w:proofErr w:type="spellEnd"/>
      <w:r w:rsidRPr="007740C0">
        <w:t> flags. This is the exact data model for the MP_CHANGE accept/reject cycle described in §02 — good confirmation the domain read from the Java code was accurate.</w:t>
      </w:r>
    </w:p>
    <w:p w14:paraId="3671C18F" w14:textId="77777777" w:rsidR="007740C0" w:rsidRPr="007740C0" w:rsidRDefault="007740C0" w:rsidP="007740C0">
      <w:r w:rsidRPr="007740C0">
        <w:t>05</w:t>
      </w:r>
    </w:p>
    <w:p w14:paraId="451B6251" w14:textId="77777777" w:rsidR="007740C0" w:rsidRPr="007740C0" w:rsidRDefault="007740C0" w:rsidP="007740C0">
      <w:pPr>
        <w:rPr>
          <w:b/>
          <w:bCs/>
        </w:rPr>
      </w:pPr>
      <w:r w:rsidRPr="007740C0">
        <w:rPr>
          <w:b/>
          <w:bCs/>
        </w:rPr>
        <w:t>Findings that should shape the rewrite</w:t>
      </w:r>
    </w:p>
    <w:p w14:paraId="46978F53" w14:textId="77777777" w:rsidR="007740C0" w:rsidRPr="007740C0" w:rsidRDefault="007740C0" w:rsidP="007740C0">
      <w:r w:rsidRPr="007740C0">
        <w:t xml:space="preserve">Not a criticism of the original build — </w:t>
      </w:r>
      <w:proofErr w:type="spellStart"/>
      <w:r w:rsidRPr="007740C0">
        <w:t>Vaadin</w:t>
      </w:r>
      <w:proofErr w:type="spellEnd"/>
      <w:r w:rsidRPr="007740C0">
        <w:t xml:space="preserve"> 7 + hand</w:t>
      </w:r>
      <w:r w:rsidRPr="007740C0">
        <w:noBreakHyphen/>
        <w:t>rolled JDBC was a reasonable choice a decade ago. These are just the things a clean</w:t>
      </w:r>
      <w:r w:rsidRPr="007740C0">
        <w:noBreakHyphen/>
        <w:t>slate .NET rewrite should not carry forward.</w:t>
      </w:r>
    </w:p>
    <w:p w14:paraId="3F622B15" w14:textId="77777777" w:rsidR="007740C0" w:rsidRPr="007740C0" w:rsidRDefault="007740C0" w:rsidP="007740C0">
      <w:r w:rsidRPr="007740C0">
        <w:t>Security</w:t>
      </w:r>
    </w:p>
    <w:p w14:paraId="341BACDB" w14:textId="77777777" w:rsidR="007740C0" w:rsidRPr="007740C0" w:rsidRDefault="007740C0" w:rsidP="007740C0">
      <w:r w:rsidRPr="007740C0">
        <w:rPr>
          <w:b/>
          <w:bCs/>
        </w:rPr>
        <w:t>Passwords compared in plaintext</w:t>
      </w:r>
    </w:p>
    <w:p w14:paraId="24C31A70" w14:textId="77777777" w:rsidR="007740C0" w:rsidRPr="007740C0" w:rsidRDefault="007740C0" w:rsidP="007740C0">
      <w:r w:rsidRPr="007740C0">
        <w:t>Login validates by direct string comparison against a </w:t>
      </w:r>
      <w:proofErr w:type="spellStart"/>
      <w:r w:rsidRPr="007740C0">
        <w:t>Pwd</w:t>
      </w:r>
      <w:proofErr w:type="spellEnd"/>
      <w:r w:rsidRPr="007740C0">
        <w:t> column with no hashing visible in </w:t>
      </w:r>
      <w:proofErr w:type="spellStart"/>
      <w:r w:rsidRPr="007740C0">
        <w:t>TkLoginManager</w:t>
      </w:r>
      <w:proofErr w:type="spellEnd"/>
      <w:r w:rsidRPr="007740C0">
        <w:t> — confirmed by the schema itself (</w:t>
      </w:r>
      <w:proofErr w:type="spellStart"/>
      <w:r w:rsidRPr="007740C0">
        <w:t>A_Usr.Pwd</w:t>
      </w:r>
      <w:proofErr w:type="spellEnd"/>
      <w:r w:rsidRPr="007740C0">
        <w:t> is </w:t>
      </w:r>
      <w:proofErr w:type="gramStart"/>
      <w:r w:rsidRPr="007740C0">
        <w:t>varchar(</w:t>
      </w:r>
      <w:proofErr w:type="gramEnd"/>
      <w:r w:rsidRPr="007740C0">
        <w:t>20), too narrow to hold a real hash). The .NET rewrite should hash (ASP.NET Core Identity defaults) and force a one</w:t>
      </w:r>
      <w:r w:rsidRPr="007740C0">
        <w:noBreakHyphen/>
        <w:t>time reset on migration rather than carrying old values forward.</w:t>
      </w:r>
    </w:p>
    <w:p w14:paraId="6BD9FC19" w14:textId="77777777" w:rsidR="007740C0" w:rsidRPr="007740C0" w:rsidRDefault="007740C0" w:rsidP="007740C0">
      <w:r w:rsidRPr="007740C0">
        <w:t>Security</w:t>
      </w:r>
    </w:p>
    <w:p w14:paraId="24A93AE1" w14:textId="77777777" w:rsidR="007740C0" w:rsidRPr="007740C0" w:rsidRDefault="007740C0" w:rsidP="007740C0">
      <w:r w:rsidRPr="007740C0">
        <w:rPr>
          <w:b/>
          <w:bCs/>
        </w:rPr>
        <w:t>SQL built by string concatenation throughout</w:t>
      </w:r>
    </w:p>
    <w:p w14:paraId="0B447D84" w14:textId="77777777" w:rsidR="007740C0" w:rsidRPr="007740C0" w:rsidRDefault="007740C0" w:rsidP="007740C0">
      <w:proofErr w:type="spellStart"/>
      <w:r w:rsidRPr="007740C0">
        <w:t>DLookup</w:t>
      </w:r>
      <w:proofErr w:type="spellEnd"/>
      <w:r w:rsidRPr="007740C0">
        <w:t>, </w:t>
      </w:r>
      <w:proofErr w:type="spellStart"/>
      <w:r w:rsidRPr="007740C0">
        <w:t>DCount</w:t>
      </w:r>
      <w:proofErr w:type="spellEnd"/>
      <w:r w:rsidRPr="007740C0">
        <w:t>, </w:t>
      </w:r>
      <w:proofErr w:type="spellStart"/>
      <w:r w:rsidRPr="007740C0">
        <w:t>RunSQL</w:t>
      </w:r>
      <w:proofErr w:type="spellEnd"/>
      <w:r w:rsidRPr="007740C0">
        <w:t> and most entity </w:t>
      </w:r>
      <w:proofErr w:type="spellStart"/>
      <w:r w:rsidRPr="007740C0">
        <w:t>storeRow</w:t>
      </w:r>
      <w:proofErr w:type="spellEnd"/>
      <w:r w:rsidRPr="007740C0">
        <w:t>/</w:t>
      </w:r>
      <w:proofErr w:type="spellStart"/>
      <w:r w:rsidRPr="007740C0">
        <w:t>init</w:t>
      </w:r>
      <w:proofErr w:type="spellEnd"/>
      <w:r w:rsidRPr="007740C0">
        <w:t> methods build WHERE clauses and literals by concatenating strings rather than binding parameters. Low practical exposure today since most inputs are internal IDs, but it's the opposite of this project's own Dapper convention (parameterized, named</w:t>
      </w:r>
      <w:r w:rsidRPr="007740C0">
        <w:noBreakHyphen/>
        <w:t>parameter queries only) and shouldn't be replicated.</w:t>
      </w:r>
    </w:p>
    <w:p w14:paraId="5D8FF822" w14:textId="77777777" w:rsidR="007740C0" w:rsidRPr="007740C0" w:rsidRDefault="007740C0" w:rsidP="007740C0">
      <w:r w:rsidRPr="007740C0">
        <w:t>Secrets</w:t>
      </w:r>
    </w:p>
    <w:p w14:paraId="772F1F9E" w14:textId="77777777" w:rsidR="007740C0" w:rsidRPr="007740C0" w:rsidRDefault="007740C0" w:rsidP="007740C0">
      <w:r w:rsidRPr="007740C0">
        <w:rPr>
          <w:b/>
          <w:bCs/>
        </w:rPr>
        <w:t>DB credentials committed in plaintext properties files</w:t>
      </w:r>
    </w:p>
    <w:p w14:paraId="65DCE67C" w14:textId="77777777" w:rsidR="007740C0" w:rsidRPr="007740C0" w:rsidRDefault="007740C0" w:rsidP="007740C0">
      <w:proofErr w:type="spellStart"/>
      <w:proofErr w:type="gramStart"/>
      <w:r w:rsidRPr="007740C0">
        <w:t>environment.properties</w:t>
      </w:r>
      <w:proofErr w:type="spellEnd"/>
      <w:proofErr w:type="gramEnd"/>
      <w:r w:rsidRPr="007740C0">
        <w:t> per environment (default/</w:t>
      </w:r>
      <w:proofErr w:type="spellStart"/>
      <w:r w:rsidRPr="007740C0">
        <w:t>sepa</w:t>
      </w:r>
      <w:proofErr w:type="spellEnd"/>
      <w:r w:rsidRPr="007740C0">
        <w:noBreakHyphen/>
        <w:t>test/SFWTEST) has the SQL Server username and password in cleartext — one of the three is an </w:t>
      </w:r>
      <w:proofErr w:type="spellStart"/>
      <w:r w:rsidRPr="007740C0">
        <w:t>sa</w:t>
      </w:r>
      <w:proofErr w:type="spellEnd"/>
      <w:r w:rsidRPr="007740C0">
        <w:t> (system administrator) login. Rotate these and move to a secrets store (IIS/Windows: protected configuration, Key Vault, or environment variables) as part of cutover — don't reuse the current values, including the dev credential used for this audit.</w:t>
      </w:r>
    </w:p>
    <w:p w14:paraId="66830713" w14:textId="77777777" w:rsidR="007740C0" w:rsidRPr="007740C0" w:rsidRDefault="007740C0" w:rsidP="007740C0">
      <w:r w:rsidRPr="007740C0">
        <w:t>Data integrity</w:t>
      </w:r>
    </w:p>
    <w:p w14:paraId="4BB3508C" w14:textId="77777777" w:rsidR="007740C0" w:rsidRPr="007740C0" w:rsidRDefault="007740C0" w:rsidP="007740C0">
      <w:r w:rsidRPr="007740C0">
        <w:rPr>
          <w:b/>
          <w:bCs/>
        </w:rPr>
        <w:t>Only 9 of 50 tables have a real foreign</w:t>
      </w:r>
      <w:r w:rsidRPr="007740C0">
        <w:rPr>
          <w:b/>
          <w:bCs/>
        </w:rPr>
        <w:noBreakHyphen/>
        <w:t>key constraint; 3 have no primary key</w:t>
      </w:r>
    </w:p>
    <w:p w14:paraId="3925F33C" w14:textId="77777777" w:rsidR="007740C0" w:rsidRPr="007740C0" w:rsidRDefault="007740C0" w:rsidP="007740C0">
      <w:r w:rsidRPr="007740C0">
        <w:t>See §04 — the database does not enforce most of the relationships the application relies on. Treat every "obvious" relationship as application</w:t>
      </w:r>
      <w:r w:rsidRPr="007740C0">
        <w:noBreakHyphen/>
        <w:t>level only until verified against the live schema, and consider adding the missing constraints as part of the rewrite even though the schema itself isn't being redesigned.</w:t>
      </w:r>
    </w:p>
    <w:p w14:paraId="7FF11F9B" w14:textId="77777777" w:rsidR="007740C0" w:rsidRPr="007740C0" w:rsidRDefault="007740C0" w:rsidP="007740C0">
      <w:r w:rsidRPr="007740C0">
        <w:t>Architecture</w:t>
      </w:r>
    </w:p>
    <w:p w14:paraId="60568334" w14:textId="77777777" w:rsidR="007740C0" w:rsidRPr="007740C0" w:rsidRDefault="007740C0" w:rsidP="007740C0">
      <w:r w:rsidRPr="007740C0">
        <w:rPr>
          <w:b/>
          <w:bCs/>
        </w:rPr>
        <w:lastRenderedPageBreak/>
        <w:t>No service layer — UI is bound directly to the database</w:t>
      </w:r>
    </w:p>
    <w:p w14:paraId="71F45281" w14:textId="77777777" w:rsidR="007740C0" w:rsidRPr="007740C0" w:rsidRDefault="007740C0" w:rsidP="007740C0">
      <w:r w:rsidRPr="007740C0">
        <w:t xml:space="preserve">Every </w:t>
      </w:r>
      <w:proofErr w:type="spellStart"/>
      <w:r w:rsidRPr="007740C0">
        <w:t>DataTables</w:t>
      </w:r>
      <w:proofErr w:type="spellEnd"/>
      <w:r w:rsidRPr="007740C0">
        <w:t xml:space="preserve"> class wraps a </w:t>
      </w:r>
      <w:proofErr w:type="spellStart"/>
      <w:r w:rsidRPr="007740C0">
        <w:t>Vaadin</w:t>
      </w:r>
      <w:proofErr w:type="spellEnd"/>
      <w:r w:rsidRPr="007740C0">
        <w:t> </w:t>
      </w:r>
      <w:proofErr w:type="spellStart"/>
      <w:r w:rsidRPr="007740C0">
        <w:t>SQLContainer</w:t>
      </w:r>
      <w:proofErr w:type="spellEnd"/>
      <w:r w:rsidRPr="007740C0">
        <w:t xml:space="preserve"> pointed straight at a table; business rules live scattered across Windows/Panels event handlers. This is the main reason a straight "port the screens" approach would just recreate the same coupling in </w:t>
      </w:r>
      <w:proofErr w:type="spellStart"/>
      <w:r w:rsidRPr="007740C0">
        <w:t>Blazor</w:t>
      </w:r>
      <w:proofErr w:type="spellEnd"/>
      <w:r w:rsidRPr="007740C0">
        <w:t xml:space="preserve"> — the rewrite needs to actually introduce Domain/</w:t>
      </w:r>
      <w:proofErr w:type="spellStart"/>
      <w:r w:rsidRPr="007740C0">
        <w:t>DataAccess</w:t>
      </w:r>
      <w:proofErr w:type="spellEnd"/>
      <w:r w:rsidRPr="007740C0">
        <w:t>/Application layers, not just change the UI framework.</w:t>
      </w:r>
    </w:p>
    <w:p w14:paraId="450E1F4A" w14:textId="77777777" w:rsidR="007740C0" w:rsidRPr="007740C0" w:rsidRDefault="007740C0" w:rsidP="007740C0">
      <w:r w:rsidRPr="007740C0">
        <w:t>Platform</w:t>
      </w:r>
    </w:p>
    <w:p w14:paraId="49D3409C" w14:textId="77777777" w:rsidR="007740C0" w:rsidRPr="007740C0" w:rsidRDefault="007740C0" w:rsidP="007740C0">
      <w:r w:rsidRPr="007740C0">
        <w:rPr>
          <w:b/>
          <w:bCs/>
        </w:rPr>
        <w:t>End</w:t>
      </w:r>
      <w:r w:rsidRPr="007740C0">
        <w:rPr>
          <w:b/>
          <w:bCs/>
        </w:rPr>
        <w:noBreakHyphen/>
        <w:t>of</w:t>
      </w:r>
      <w:r w:rsidRPr="007740C0">
        <w:rPr>
          <w:b/>
          <w:bCs/>
        </w:rPr>
        <w:noBreakHyphen/>
        <w:t>life stack</w:t>
      </w:r>
    </w:p>
    <w:p w14:paraId="48627BA2" w14:textId="77777777" w:rsidR="007740C0" w:rsidRPr="007740C0" w:rsidRDefault="007740C0" w:rsidP="007740C0">
      <w:r w:rsidRPr="007740C0">
        <w:t xml:space="preserve">Java 7 target, </w:t>
      </w:r>
      <w:proofErr w:type="spellStart"/>
      <w:r w:rsidRPr="007740C0">
        <w:t>Vaadin</w:t>
      </w:r>
      <w:proofErr w:type="spellEnd"/>
      <w:r w:rsidRPr="007740C0">
        <w:t xml:space="preserve"> 7 (EOL 2019), GWT</w:t>
      </w:r>
      <w:r w:rsidRPr="007740C0">
        <w:noBreakHyphen/>
        <w:t xml:space="preserve">compiled </w:t>
      </w:r>
      <w:proofErr w:type="spellStart"/>
      <w:r w:rsidRPr="007740C0">
        <w:t>widgetset</w:t>
      </w:r>
      <w:proofErr w:type="spellEnd"/>
      <w:r w:rsidRPr="007740C0">
        <w:t>. No incremental upgrade path exists that isn't itself a near</w:t>
      </w:r>
      <w:r w:rsidRPr="007740C0">
        <w:noBreakHyphen/>
        <w:t>total rewrite of the UI layer — reinforces that a rewrite, not an in</w:t>
      </w:r>
      <w:r w:rsidRPr="007740C0">
        <w:noBreakHyphen/>
        <w:t>place modernization, is the right call here.</w:t>
      </w:r>
    </w:p>
    <w:p w14:paraId="052DE353" w14:textId="77777777" w:rsidR="007740C0" w:rsidRPr="007740C0" w:rsidRDefault="007740C0" w:rsidP="007740C0">
      <w:r w:rsidRPr="007740C0">
        <w:t>06</w:t>
      </w:r>
    </w:p>
    <w:p w14:paraId="4C76A917" w14:textId="77777777" w:rsidR="007740C0" w:rsidRPr="007740C0" w:rsidRDefault="007740C0" w:rsidP="007740C0">
      <w:pPr>
        <w:rPr>
          <w:b/>
          <w:bCs/>
        </w:rPr>
      </w:pPr>
      <w:r w:rsidRPr="007740C0">
        <w:rPr>
          <w:b/>
          <w:bCs/>
        </w:rPr>
        <w:t>Target architecture</w:t>
      </w:r>
    </w:p>
    <w:p w14:paraId="7F41AB32" w14:textId="77777777" w:rsidR="007740C0" w:rsidRPr="007740C0" w:rsidRDefault="007740C0" w:rsidP="007740C0">
      <w:r w:rsidRPr="007740C0">
        <w:t xml:space="preserve">Mirroring the layering this workspace already uses for </w:t>
      </w:r>
      <w:proofErr w:type="spellStart"/>
      <w:r w:rsidRPr="007740C0">
        <w:t>RaceTracker</w:t>
      </w:r>
      <w:proofErr w:type="spellEnd"/>
      <w:r w:rsidRPr="007740C0">
        <w:t xml:space="preserve"> — it's a good fit for </w:t>
      </w:r>
      <w:proofErr w:type="spellStart"/>
      <w:r w:rsidRPr="007740C0">
        <w:t>eKYC's</w:t>
      </w:r>
      <w:proofErr w:type="spellEnd"/>
      <w:r w:rsidRPr="007740C0">
        <w:t xml:space="preserve"> needs too, and gives you one consistent set of conventions across projects.</w:t>
      </w:r>
    </w:p>
    <w:tbl>
      <w:tblPr>
        <w:tblW w:w="11700" w:type="dxa"/>
        <w:tblCellMar>
          <w:top w:w="15" w:type="dxa"/>
          <w:left w:w="15" w:type="dxa"/>
          <w:bottom w:w="15" w:type="dxa"/>
          <w:right w:w="15" w:type="dxa"/>
        </w:tblCellMar>
        <w:tblLook w:val="04A0" w:firstRow="1" w:lastRow="0" w:firstColumn="1" w:lastColumn="0" w:noHBand="0" w:noVBand="1"/>
      </w:tblPr>
      <w:tblGrid>
        <w:gridCol w:w="2064"/>
        <w:gridCol w:w="9636"/>
      </w:tblGrid>
      <w:tr w:rsidR="007740C0" w:rsidRPr="007740C0" w14:paraId="0147711A" w14:textId="77777777" w:rsidTr="007740C0">
        <w:tc>
          <w:tcPr>
            <w:tcW w:w="0" w:type="auto"/>
            <w:tcBorders>
              <w:bottom w:val="single" w:sz="6" w:space="0" w:color="2A373A"/>
            </w:tcBorders>
            <w:tcMar>
              <w:top w:w="120" w:type="dxa"/>
              <w:left w:w="0" w:type="dxa"/>
              <w:bottom w:w="120" w:type="dxa"/>
              <w:right w:w="210" w:type="dxa"/>
            </w:tcMar>
            <w:vAlign w:val="center"/>
            <w:hideMark/>
          </w:tcPr>
          <w:p w14:paraId="1551A72F" w14:textId="77777777" w:rsidR="007740C0" w:rsidRPr="007740C0" w:rsidRDefault="007740C0" w:rsidP="007740C0">
            <w:r w:rsidRPr="007740C0">
              <w:t>Project</w:t>
            </w:r>
          </w:p>
        </w:tc>
        <w:tc>
          <w:tcPr>
            <w:tcW w:w="0" w:type="auto"/>
            <w:tcBorders>
              <w:bottom w:val="single" w:sz="6" w:space="0" w:color="2A373A"/>
            </w:tcBorders>
            <w:tcMar>
              <w:top w:w="120" w:type="dxa"/>
              <w:left w:w="0" w:type="dxa"/>
              <w:bottom w:w="120" w:type="dxa"/>
              <w:right w:w="210" w:type="dxa"/>
            </w:tcMar>
            <w:vAlign w:val="center"/>
            <w:hideMark/>
          </w:tcPr>
          <w:p w14:paraId="78878006" w14:textId="77777777" w:rsidR="007740C0" w:rsidRPr="007740C0" w:rsidRDefault="007740C0" w:rsidP="007740C0">
            <w:r w:rsidRPr="007740C0">
              <w:t>Contents</w:t>
            </w:r>
          </w:p>
        </w:tc>
      </w:tr>
      <w:tr w:rsidR="007740C0" w:rsidRPr="007740C0" w14:paraId="538277CB" w14:textId="77777777" w:rsidTr="007740C0">
        <w:tc>
          <w:tcPr>
            <w:tcW w:w="0" w:type="auto"/>
            <w:tcBorders>
              <w:bottom w:val="single" w:sz="6" w:space="0" w:color="2A373A"/>
            </w:tcBorders>
            <w:tcMar>
              <w:top w:w="150" w:type="dxa"/>
              <w:left w:w="0" w:type="dxa"/>
              <w:bottom w:w="150" w:type="dxa"/>
              <w:right w:w="210" w:type="dxa"/>
            </w:tcMar>
            <w:hideMark/>
          </w:tcPr>
          <w:p w14:paraId="2CCA9CEE" w14:textId="77777777" w:rsidR="007740C0" w:rsidRPr="007740C0" w:rsidRDefault="007740C0" w:rsidP="007740C0">
            <w:proofErr w:type="spellStart"/>
            <w:r w:rsidRPr="007740C0">
              <w:t>eKYC.Domain</w:t>
            </w:r>
            <w:proofErr w:type="spellEnd"/>
          </w:p>
        </w:tc>
        <w:tc>
          <w:tcPr>
            <w:tcW w:w="0" w:type="auto"/>
            <w:tcBorders>
              <w:bottom w:val="single" w:sz="6" w:space="0" w:color="2A373A"/>
            </w:tcBorders>
            <w:tcMar>
              <w:top w:w="150" w:type="dxa"/>
              <w:left w:w="0" w:type="dxa"/>
              <w:bottom w:w="150" w:type="dxa"/>
              <w:right w:w="210" w:type="dxa"/>
            </w:tcMar>
            <w:hideMark/>
          </w:tcPr>
          <w:p w14:paraId="73F32FEC" w14:textId="77777777" w:rsidR="007740C0" w:rsidRPr="007740C0" w:rsidRDefault="007740C0" w:rsidP="007740C0">
            <w:r w:rsidRPr="007740C0">
              <w:t xml:space="preserve">POCOs for Client, Owner, </w:t>
            </w:r>
            <w:proofErr w:type="spellStart"/>
            <w:r w:rsidRPr="007740C0">
              <w:t>RiskQuestionnaire</w:t>
            </w:r>
            <w:proofErr w:type="spellEnd"/>
            <w:r w:rsidRPr="007740C0">
              <w:t xml:space="preserve">, </w:t>
            </w:r>
            <w:proofErr w:type="spellStart"/>
            <w:r w:rsidRPr="007740C0">
              <w:t>ProcessingStatus</w:t>
            </w:r>
            <w:proofErr w:type="spellEnd"/>
            <w:r w:rsidRPr="007740C0">
              <w:t>, etc. — no logic, no dependencies. Root aggregates carry </w:t>
            </w:r>
            <w:proofErr w:type="spellStart"/>
            <w:r w:rsidRPr="007740C0">
              <w:t>TenantId</w:t>
            </w:r>
            <w:proofErr w:type="spellEnd"/>
          </w:p>
        </w:tc>
      </w:tr>
      <w:tr w:rsidR="007740C0" w:rsidRPr="007740C0" w14:paraId="48F539AD" w14:textId="77777777" w:rsidTr="007740C0">
        <w:tc>
          <w:tcPr>
            <w:tcW w:w="0" w:type="auto"/>
            <w:tcBorders>
              <w:bottom w:val="single" w:sz="6" w:space="0" w:color="2A373A"/>
            </w:tcBorders>
            <w:tcMar>
              <w:top w:w="150" w:type="dxa"/>
              <w:left w:w="0" w:type="dxa"/>
              <w:bottom w:w="150" w:type="dxa"/>
              <w:right w:w="210" w:type="dxa"/>
            </w:tcMar>
            <w:hideMark/>
          </w:tcPr>
          <w:p w14:paraId="4F3A7D23" w14:textId="77777777" w:rsidR="007740C0" w:rsidRPr="007740C0" w:rsidRDefault="007740C0" w:rsidP="007740C0">
            <w:proofErr w:type="spellStart"/>
            <w:r w:rsidRPr="007740C0">
              <w:t>eKYC.DataAccess</w:t>
            </w:r>
            <w:proofErr w:type="spellEnd"/>
          </w:p>
        </w:tc>
        <w:tc>
          <w:tcPr>
            <w:tcW w:w="0" w:type="auto"/>
            <w:tcBorders>
              <w:bottom w:val="single" w:sz="6" w:space="0" w:color="2A373A"/>
            </w:tcBorders>
            <w:tcMar>
              <w:top w:w="150" w:type="dxa"/>
              <w:left w:w="0" w:type="dxa"/>
              <w:bottom w:w="150" w:type="dxa"/>
              <w:right w:w="210" w:type="dxa"/>
            </w:tcMar>
            <w:hideMark/>
          </w:tcPr>
          <w:p w14:paraId="11DF921E" w14:textId="77777777" w:rsidR="007740C0" w:rsidRPr="007740C0" w:rsidRDefault="007740C0" w:rsidP="007740C0">
            <w:r w:rsidRPr="007740C0">
              <w:t>Dapper repositories, one per aggregate; parameterized SQL only, mapped explicitly from the </w:t>
            </w:r>
            <w:r w:rsidRPr="007740C0">
              <w:rPr>
                <w:b/>
                <w:bCs/>
              </w:rPr>
              <w:t>existing</w:t>
            </w:r>
            <w:r w:rsidRPr="007740C0">
              <w:t> Croatian</w:t>
            </w:r>
            <w:r w:rsidRPr="007740C0">
              <w:noBreakHyphen/>
              <w:t xml:space="preserve">abbreviated column names to </w:t>
            </w:r>
            <w:proofErr w:type="spellStart"/>
            <w:r w:rsidRPr="007740C0">
              <w:t>PascalCase</w:t>
            </w:r>
            <w:proofErr w:type="spellEnd"/>
            <w:r w:rsidRPr="007740C0">
              <w:t xml:space="preserve"> C# properties (schema stays as</w:t>
            </w:r>
            <w:r w:rsidRPr="007740C0">
              <w:noBreakHyphen/>
              <w:t>is), plus the new additive </w:t>
            </w:r>
            <w:proofErr w:type="spellStart"/>
            <w:r w:rsidRPr="007740C0">
              <w:t>row_version</w:t>
            </w:r>
            <w:proofErr w:type="spellEnd"/>
            <w:r w:rsidRPr="007740C0">
              <w:t>/</w:t>
            </w:r>
            <w:proofErr w:type="spellStart"/>
            <w:r w:rsidRPr="007740C0">
              <w:t>tenant_id</w:t>
            </w:r>
            <w:proofErr w:type="spellEnd"/>
            <w:r w:rsidRPr="007740C0">
              <w:t> columns. Every tenant</w:t>
            </w:r>
            <w:r w:rsidRPr="007740C0">
              <w:noBreakHyphen/>
              <w:t xml:space="preserve">scoped query </w:t>
            </w:r>
            <w:proofErr w:type="gramStart"/>
            <w:r w:rsidRPr="007740C0">
              <w:t>filters</w:t>
            </w:r>
            <w:proofErr w:type="gramEnd"/>
            <w:r w:rsidRPr="007740C0">
              <w:t xml:space="preserve"> by </w:t>
            </w:r>
            <w:proofErr w:type="spellStart"/>
            <w:r w:rsidRPr="007740C0">
              <w:t>TenantId</w:t>
            </w:r>
            <w:proofErr w:type="spellEnd"/>
          </w:p>
        </w:tc>
      </w:tr>
      <w:tr w:rsidR="007740C0" w:rsidRPr="007740C0" w14:paraId="2687222E" w14:textId="77777777" w:rsidTr="007740C0">
        <w:tc>
          <w:tcPr>
            <w:tcW w:w="0" w:type="auto"/>
            <w:tcBorders>
              <w:bottom w:val="single" w:sz="6" w:space="0" w:color="2A373A"/>
            </w:tcBorders>
            <w:tcMar>
              <w:top w:w="150" w:type="dxa"/>
              <w:left w:w="0" w:type="dxa"/>
              <w:bottom w:w="150" w:type="dxa"/>
              <w:right w:w="210" w:type="dxa"/>
            </w:tcMar>
            <w:hideMark/>
          </w:tcPr>
          <w:p w14:paraId="02B28535" w14:textId="77777777" w:rsidR="007740C0" w:rsidRPr="007740C0" w:rsidRDefault="007740C0" w:rsidP="007740C0">
            <w:proofErr w:type="spellStart"/>
            <w:r w:rsidRPr="007740C0">
              <w:t>eKYC.Application</w:t>
            </w:r>
            <w:proofErr w:type="spellEnd"/>
          </w:p>
        </w:tc>
        <w:tc>
          <w:tcPr>
            <w:tcW w:w="0" w:type="auto"/>
            <w:tcBorders>
              <w:bottom w:val="single" w:sz="6" w:space="0" w:color="2A373A"/>
            </w:tcBorders>
            <w:tcMar>
              <w:top w:w="150" w:type="dxa"/>
              <w:left w:w="0" w:type="dxa"/>
              <w:bottom w:w="150" w:type="dxa"/>
              <w:right w:w="210" w:type="dxa"/>
            </w:tcMar>
            <w:hideMark/>
          </w:tcPr>
          <w:p w14:paraId="15ACF030" w14:textId="77777777" w:rsidR="007740C0" w:rsidRPr="007740C0" w:rsidRDefault="007740C0" w:rsidP="007740C0">
            <w:r w:rsidRPr="007740C0">
              <w:t>Workflow/state</w:t>
            </w:r>
            <w:r w:rsidRPr="007740C0">
              <w:noBreakHyphen/>
              <w:t>machine for processing status, risk scoring strategy, SharePoint document client, maker</w:t>
            </w:r>
            <w:r w:rsidRPr="007740C0">
              <w:noBreakHyphen/>
              <w:t>checker change service, task scheduler. HBOR integration client lives here (calls an API, not the linked server — see §08)</w:t>
            </w:r>
          </w:p>
        </w:tc>
      </w:tr>
      <w:tr w:rsidR="007740C0" w:rsidRPr="007740C0" w14:paraId="5A39E47E" w14:textId="77777777" w:rsidTr="007740C0">
        <w:tc>
          <w:tcPr>
            <w:tcW w:w="0" w:type="auto"/>
            <w:tcBorders>
              <w:bottom w:val="single" w:sz="6" w:space="0" w:color="2A373A"/>
            </w:tcBorders>
            <w:tcMar>
              <w:top w:w="150" w:type="dxa"/>
              <w:left w:w="0" w:type="dxa"/>
              <w:bottom w:w="150" w:type="dxa"/>
              <w:right w:w="210" w:type="dxa"/>
            </w:tcMar>
            <w:hideMark/>
          </w:tcPr>
          <w:p w14:paraId="293706CB" w14:textId="77777777" w:rsidR="007740C0" w:rsidRPr="007740C0" w:rsidRDefault="007740C0" w:rsidP="007740C0">
            <w:proofErr w:type="spellStart"/>
            <w:r w:rsidRPr="007740C0">
              <w:t>eKYC.Api</w:t>
            </w:r>
            <w:proofErr w:type="spellEnd"/>
          </w:p>
        </w:tc>
        <w:tc>
          <w:tcPr>
            <w:tcW w:w="0" w:type="auto"/>
            <w:tcBorders>
              <w:bottom w:val="single" w:sz="6" w:space="0" w:color="2A373A"/>
            </w:tcBorders>
            <w:tcMar>
              <w:top w:w="150" w:type="dxa"/>
              <w:left w:w="0" w:type="dxa"/>
              <w:bottom w:w="150" w:type="dxa"/>
              <w:right w:w="210" w:type="dxa"/>
            </w:tcMar>
            <w:hideMark/>
          </w:tcPr>
          <w:p w14:paraId="3F0C698C" w14:textId="77777777" w:rsidR="007740C0" w:rsidRPr="007740C0" w:rsidRDefault="007740C0" w:rsidP="007740C0">
            <w:r w:rsidRPr="007740C0">
              <w:t>REST endpoints — </w:t>
            </w:r>
            <w:r w:rsidRPr="007740C0">
              <w:rPr>
                <w:b/>
                <w:bCs/>
              </w:rPr>
              <w:t>required</w:t>
            </w:r>
            <w:r w:rsidRPr="007740C0">
              <w:t> now that two front ends share one backend; both Web projects call it as typed HTTP clients rather than touching Application/</w:t>
            </w:r>
            <w:proofErr w:type="spellStart"/>
            <w:r w:rsidRPr="007740C0">
              <w:t>DataAccess</w:t>
            </w:r>
            <w:proofErr w:type="spellEnd"/>
            <w:r w:rsidRPr="007740C0">
              <w:t xml:space="preserve"> directly</w:t>
            </w:r>
          </w:p>
        </w:tc>
      </w:tr>
      <w:tr w:rsidR="007740C0" w:rsidRPr="007740C0" w14:paraId="718F4ADC" w14:textId="77777777" w:rsidTr="007740C0">
        <w:tc>
          <w:tcPr>
            <w:tcW w:w="0" w:type="auto"/>
            <w:tcBorders>
              <w:bottom w:val="single" w:sz="6" w:space="0" w:color="2A373A"/>
            </w:tcBorders>
            <w:tcMar>
              <w:top w:w="150" w:type="dxa"/>
              <w:left w:w="0" w:type="dxa"/>
              <w:bottom w:w="150" w:type="dxa"/>
              <w:right w:w="210" w:type="dxa"/>
            </w:tcMar>
            <w:hideMark/>
          </w:tcPr>
          <w:p w14:paraId="79FF9E4C" w14:textId="77777777" w:rsidR="007740C0" w:rsidRPr="007740C0" w:rsidRDefault="007740C0" w:rsidP="007740C0">
            <w:proofErr w:type="spellStart"/>
            <w:proofErr w:type="gramStart"/>
            <w:r w:rsidRPr="007740C0">
              <w:t>eKYC.Web.Blazor</w:t>
            </w:r>
            <w:proofErr w:type="spellEnd"/>
            <w:proofErr w:type="gramEnd"/>
          </w:p>
        </w:tc>
        <w:tc>
          <w:tcPr>
            <w:tcW w:w="0" w:type="auto"/>
            <w:tcBorders>
              <w:bottom w:val="single" w:sz="6" w:space="0" w:color="2A373A"/>
            </w:tcBorders>
            <w:tcMar>
              <w:top w:w="150" w:type="dxa"/>
              <w:left w:w="0" w:type="dxa"/>
              <w:bottom w:w="150" w:type="dxa"/>
              <w:right w:w="210" w:type="dxa"/>
            </w:tcMar>
            <w:hideMark/>
          </w:tcPr>
          <w:p w14:paraId="5E68B25C" w14:textId="77777777" w:rsidR="007740C0" w:rsidRPr="007740C0" w:rsidRDefault="007740C0" w:rsidP="007740C0">
            <w:proofErr w:type="spellStart"/>
            <w:r w:rsidRPr="007740C0">
              <w:t>Blazor</w:t>
            </w:r>
            <w:proofErr w:type="spellEnd"/>
            <w:r w:rsidRPr="007740C0">
              <w:t xml:space="preserve"> Server UI — </w:t>
            </w:r>
            <w:r w:rsidRPr="007740C0">
              <w:rPr>
                <w:b/>
                <w:bCs/>
              </w:rPr>
              <w:t>primary</w:t>
            </w:r>
            <w:r w:rsidRPr="007740C0">
              <w:t>, built out to full feature parity</w:t>
            </w:r>
          </w:p>
        </w:tc>
      </w:tr>
      <w:tr w:rsidR="007740C0" w:rsidRPr="007740C0" w14:paraId="6B0ACF29" w14:textId="77777777" w:rsidTr="007740C0">
        <w:tc>
          <w:tcPr>
            <w:tcW w:w="0" w:type="auto"/>
            <w:tcBorders>
              <w:bottom w:val="single" w:sz="6" w:space="0" w:color="2A373A"/>
            </w:tcBorders>
            <w:tcMar>
              <w:top w:w="150" w:type="dxa"/>
              <w:left w:w="0" w:type="dxa"/>
              <w:bottom w:w="150" w:type="dxa"/>
              <w:right w:w="210" w:type="dxa"/>
            </w:tcMar>
            <w:hideMark/>
          </w:tcPr>
          <w:p w14:paraId="2137D927" w14:textId="77777777" w:rsidR="007740C0" w:rsidRPr="007740C0" w:rsidRDefault="007740C0" w:rsidP="007740C0">
            <w:proofErr w:type="spellStart"/>
            <w:proofErr w:type="gramStart"/>
            <w:r w:rsidRPr="007740C0">
              <w:t>eKYC.Web.React</w:t>
            </w:r>
            <w:proofErr w:type="spellEnd"/>
            <w:proofErr w:type="gramEnd"/>
          </w:p>
        </w:tc>
        <w:tc>
          <w:tcPr>
            <w:tcW w:w="0" w:type="auto"/>
            <w:tcBorders>
              <w:bottom w:val="single" w:sz="6" w:space="0" w:color="2A373A"/>
            </w:tcBorders>
            <w:tcMar>
              <w:top w:w="150" w:type="dxa"/>
              <w:left w:w="0" w:type="dxa"/>
              <w:bottom w:w="150" w:type="dxa"/>
              <w:right w:w="210" w:type="dxa"/>
            </w:tcMar>
            <w:hideMark/>
          </w:tcPr>
          <w:p w14:paraId="76927120" w14:textId="77777777" w:rsidR="007740C0" w:rsidRPr="007740C0" w:rsidRDefault="007740C0" w:rsidP="007740C0">
            <w:r w:rsidRPr="007740C0">
              <w:t>React UI — comparison build against the same Api, scoped to a representative slice rather than full parity (see §07)</w:t>
            </w:r>
          </w:p>
        </w:tc>
      </w:tr>
    </w:tbl>
    <w:p w14:paraId="18BA3F86" w14:textId="77777777" w:rsidR="007740C0" w:rsidRPr="007740C0" w:rsidRDefault="007740C0" w:rsidP="007740C0">
      <w:pPr>
        <w:rPr>
          <w:b/>
          <w:bCs/>
        </w:rPr>
      </w:pPr>
      <w:r w:rsidRPr="007740C0">
        <w:rPr>
          <w:b/>
          <w:bCs/>
        </w:rPr>
        <w:t>Concurrency patterns carried forward</w:t>
      </w:r>
    </w:p>
    <w:p w14:paraId="3C23B340" w14:textId="77777777" w:rsidR="007740C0" w:rsidRPr="007740C0" w:rsidRDefault="007740C0" w:rsidP="007740C0">
      <w:pPr>
        <w:numPr>
          <w:ilvl w:val="0"/>
          <w:numId w:val="5"/>
        </w:numPr>
      </w:pPr>
      <w:r w:rsidRPr="007740C0">
        <w:lastRenderedPageBreak/>
        <w:t>Client/owner edit forms → </w:t>
      </w:r>
      <w:r w:rsidRPr="007740C0">
        <w:rPr>
          <w:b/>
          <w:bCs/>
        </w:rPr>
        <w:t>optimistic locking</w:t>
      </w:r>
      <w:r w:rsidRPr="007740C0">
        <w:t> via a new </w:t>
      </w:r>
      <w:proofErr w:type="spellStart"/>
      <w:r w:rsidRPr="007740C0">
        <w:t>row_version</w:t>
      </w:r>
      <w:proofErr w:type="spellEnd"/>
      <w:r w:rsidRPr="007740C0">
        <w:t> column (this project's Pattern 1) — an upgrade over the legacy app, which has no version check at all on updates today.</w:t>
      </w:r>
    </w:p>
    <w:p w14:paraId="40A0613C" w14:textId="77777777" w:rsidR="007740C0" w:rsidRPr="007740C0" w:rsidRDefault="007740C0" w:rsidP="007740C0">
      <w:pPr>
        <w:numPr>
          <w:ilvl w:val="0"/>
          <w:numId w:val="5"/>
        </w:numPr>
      </w:pPr>
      <w:r w:rsidRPr="007740C0">
        <w:t>"Client is open for editing" → </w:t>
      </w:r>
      <w:r w:rsidRPr="007740C0">
        <w:rPr>
          <w:b/>
          <w:bCs/>
        </w:rPr>
        <w:t>pessimistic advisory lock</w:t>
      </w:r>
      <w:r w:rsidRPr="007740C0">
        <w:t>, replacing the </w:t>
      </w:r>
      <w:proofErr w:type="spellStart"/>
      <w:r w:rsidRPr="007740C0">
        <w:t>A_Object_Locks</w:t>
      </w:r>
      <w:proofErr w:type="spellEnd"/>
      <w:r w:rsidRPr="007740C0">
        <w:t> table with </w:t>
      </w:r>
      <w:proofErr w:type="spellStart"/>
      <w:r w:rsidRPr="007740C0">
        <w:t>sp_getapplock</w:t>
      </w:r>
      <w:proofErr w:type="spellEnd"/>
      <w:r w:rsidRPr="007740C0">
        <w:t>/</w:t>
      </w:r>
      <w:proofErr w:type="spellStart"/>
      <w:r w:rsidRPr="007740C0">
        <w:t>sp_releaseapplock</w:t>
      </w:r>
      <w:proofErr w:type="spellEnd"/>
      <w:r w:rsidRPr="007740C0">
        <w:t> (SQL Server's advisory</w:t>
      </w:r>
      <w:r w:rsidRPr="007740C0">
        <w:noBreakHyphen/>
        <w:t>lock equivalent) scoped to the edit session — same intent as this project's Pattern 2, adapted for SQL Server. This is the actual pessimistic control; </w:t>
      </w:r>
      <w:proofErr w:type="spellStart"/>
      <w:r w:rsidRPr="007740C0">
        <w:t>row_version</w:t>
      </w:r>
      <w:proofErr w:type="spellEnd"/>
      <w:r w:rsidRPr="007740C0">
        <w:t> above is the optimistic one, kept distinct on purpose.</w:t>
      </w:r>
    </w:p>
    <w:p w14:paraId="63BF2378" w14:textId="77777777" w:rsidR="007740C0" w:rsidRPr="007740C0" w:rsidRDefault="007740C0" w:rsidP="007740C0">
      <w:pPr>
        <w:numPr>
          <w:ilvl w:val="0"/>
          <w:numId w:val="5"/>
        </w:numPr>
      </w:pPr>
      <w:r w:rsidRPr="007740C0">
        <w:t>Any future callback</w:t>
      </w:r>
      <w:r w:rsidRPr="007740C0">
        <w:noBreakHyphen/>
        <w:t xml:space="preserve"> or batch</w:t>
      </w:r>
      <w:r w:rsidRPr="007740C0">
        <w:noBreakHyphen/>
        <w:t>driven result ingestion (e.g. if screening work resumes later) → </w:t>
      </w:r>
      <w:r w:rsidRPr="007740C0">
        <w:rPr>
          <w:b/>
          <w:bCs/>
        </w:rPr>
        <w:t>idempotent insert</w:t>
      </w:r>
      <w:r w:rsidRPr="007740C0">
        <w:t> (MERGE / IF NOT EXISTS insert), matching this project's Pattern 3 intent.</w:t>
      </w:r>
    </w:p>
    <w:p w14:paraId="36C0A948" w14:textId="77777777" w:rsidR="007740C0" w:rsidRPr="007740C0" w:rsidRDefault="007740C0" w:rsidP="007740C0">
      <w:r w:rsidRPr="007740C0">
        <w:rPr>
          <w:b/>
          <w:bCs/>
        </w:rPr>
        <w:t>Decided:</w:t>
      </w:r>
      <w:r w:rsidRPr="007740C0">
        <w:t> </w:t>
      </w:r>
      <w:proofErr w:type="spellStart"/>
      <w:r w:rsidRPr="007740C0">
        <w:t>Blazor</w:t>
      </w:r>
      <w:proofErr w:type="spellEnd"/>
      <w:r w:rsidRPr="007740C0">
        <w:t xml:space="preserve"> Server primary with a React comparison build sharing one Api, big</w:t>
      </w:r>
      <w:r w:rsidRPr="007740C0">
        <w:noBreakHyphen/>
        <w:t>bang cutover, existing schema kept as</w:t>
      </w:r>
      <w:r w:rsidRPr="007740C0">
        <w:noBreakHyphen/>
        <w:t>is (plus additive </w:t>
      </w:r>
      <w:proofErr w:type="spellStart"/>
      <w:r w:rsidRPr="007740C0">
        <w:t>row_version</w:t>
      </w:r>
      <w:proofErr w:type="spellEnd"/>
      <w:r w:rsidRPr="007740C0">
        <w:t>/</w:t>
      </w:r>
      <w:proofErr w:type="spellStart"/>
      <w:r w:rsidRPr="007740C0">
        <w:t>tenant_id</w:t>
      </w:r>
      <w:proofErr w:type="spellEnd"/>
      <w:r w:rsidRPr="007740C0">
        <w:t xml:space="preserve">), Kerberos/AD SSO preserved, SharePoint kept, </w:t>
      </w:r>
      <w:proofErr w:type="spellStart"/>
      <w:r w:rsidRPr="007740C0">
        <w:t>SafeWatch</w:t>
      </w:r>
      <w:proofErr w:type="spellEnd"/>
      <w:r w:rsidRPr="007740C0">
        <w:t xml:space="preserve"> descoped, IIS deployment with Docker left open, HBOR read via API rather than the linked server.</w:t>
      </w:r>
    </w:p>
    <w:p w14:paraId="182AFE35" w14:textId="77777777" w:rsidR="007740C0" w:rsidRPr="007740C0" w:rsidRDefault="007740C0" w:rsidP="007740C0">
      <w:r w:rsidRPr="007740C0">
        <w:t>07</w:t>
      </w:r>
    </w:p>
    <w:p w14:paraId="446702EE" w14:textId="77777777" w:rsidR="007740C0" w:rsidRPr="007740C0" w:rsidRDefault="007740C0" w:rsidP="007740C0">
      <w:pPr>
        <w:rPr>
          <w:b/>
          <w:bCs/>
        </w:rPr>
      </w:pPr>
      <w:r w:rsidRPr="007740C0">
        <w:rPr>
          <w:b/>
          <w:bCs/>
        </w:rPr>
        <w:t>Suggested sequencing</w:t>
      </w:r>
    </w:p>
    <w:p w14:paraId="3EE84FD5" w14:textId="77777777" w:rsidR="007740C0" w:rsidRPr="007740C0" w:rsidRDefault="007740C0" w:rsidP="007740C0">
      <w:r w:rsidRPr="007740C0">
        <w:t xml:space="preserve">Domain → </w:t>
      </w:r>
      <w:proofErr w:type="spellStart"/>
      <w:r w:rsidRPr="007740C0">
        <w:t>DataAccess</w:t>
      </w:r>
      <w:proofErr w:type="spellEnd"/>
      <w:r w:rsidRPr="007740C0">
        <w:t xml:space="preserve"> → Application → Api → Web, same order as this workspace's own task workflow. Because this is a </w:t>
      </w:r>
      <w:r w:rsidRPr="007740C0">
        <w:rPr>
          <w:b/>
          <w:bCs/>
        </w:rPr>
        <w:t>big</w:t>
      </w:r>
      <w:r w:rsidRPr="007740C0">
        <w:rPr>
          <w:b/>
          <w:bCs/>
        </w:rPr>
        <w:noBreakHyphen/>
        <w:t>bang</w:t>
      </w:r>
      <w:r w:rsidRPr="007740C0">
        <w:t xml:space="preserve"> cutover — the bank keeps using the existing </w:t>
      </w:r>
      <w:proofErr w:type="spellStart"/>
      <w:r w:rsidRPr="007740C0">
        <w:t>Vaadin</w:t>
      </w:r>
      <w:proofErr w:type="spellEnd"/>
      <w:r w:rsidRPr="007740C0">
        <w:t xml:space="preserve"> app, unchanged, until the new one is feature</w:t>
      </w:r>
      <w:r w:rsidRPr="007740C0">
        <w:noBreakHyphen/>
        <w:t>complete — there's no pressure to ship partial modules early; sequencing is about de</w:t>
      </w:r>
      <w:r w:rsidRPr="007740C0">
        <w:noBreakHyphen/>
        <w:t>risking the hardest parts first, not about early production value.</w:t>
      </w:r>
    </w:p>
    <w:p w14:paraId="714B8361" w14:textId="77777777" w:rsidR="007740C0" w:rsidRPr="007740C0" w:rsidRDefault="007740C0" w:rsidP="007740C0">
      <w:r w:rsidRPr="007740C0">
        <w:rPr>
          <w:b/>
          <w:bCs/>
        </w:rPr>
        <w:t xml:space="preserve">1 — </w:t>
      </w:r>
      <w:proofErr w:type="spellStart"/>
      <w:r w:rsidRPr="007740C0">
        <w:rPr>
          <w:b/>
          <w:bCs/>
        </w:rPr>
        <w:t>Foundation</w:t>
      </w:r>
      <w:r w:rsidRPr="007740C0">
        <w:t>Domain</w:t>
      </w:r>
      <w:proofErr w:type="spellEnd"/>
      <w:r w:rsidRPr="007740C0">
        <w:t xml:space="preserve"> + </w:t>
      </w:r>
      <w:proofErr w:type="spellStart"/>
      <w:r w:rsidRPr="007740C0">
        <w:t>DataAccess</w:t>
      </w:r>
      <w:proofErr w:type="spellEnd"/>
      <w:r w:rsidRPr="007740C0">
        <w:t xml:space="preserve"> + Api + auth</w:t>
      </w:r>
    </w:p>
    <w:p w14:paraId="78FC1ABE" w14:textId="77777777" w:rsidR="007740C0" w:rsidRPr="007740C0" w:rsidRDefault="007740C0" w:rsidP="007740C0">
      <w:r w:rsidRPr="007740C0">
        <w:t>Stand up Domain/</w:t>
      </w:r>
      <w:proofErr w:type="spellStart"/>
      <w:r w:rsidRPr="007740C0">
        <w:t>DataAccess</w:t>
      </w:r>
      <w:proofErr w:type="spellEnd"/>
      <w:r w:rsidRPr="007740C0">
        <w:t>/Application/Api, connect Dapper to the existing SQL Server schema, add the </w:t>
      </w:r>
      <w:proofErr w:type="spellStart"/>
      <w:r w:rsidRPr="007740C0">
        <w:t>row_version</w:t>
      </w:r>
      <w:proofErr w:type="spellEnd"/>
      <w:r w:rsidRPr="007740C0">
        <w:t>/</w:t>
      </w:r>
      <w:proofErr w:type="spellStart"/>
      <w:r w:rsidRPr="007740C0">
        <w:t>tenant_id</w:t>
      </w:r>
      <w:proofErr w:type="spellEnd"/>
      <w:r w:rsidRPr="007740C0">
        <w:t> columns, implement AD/Kerberos (Negotiate) auth and the object</w:t>
      </w:r>
      <w:r w:rsidRPr="007740C0">
        <w:noBreakHyphen/>
        <w:t>level role/permission model, reproduce the reference</w:t>
      </w:r>
      <w:r w:rsidRPr="007740C0">
        <w:noBreakHyphen/>
        <w:t xml:space="preserve">data screens (client types, states, cities, risk classes) as the first vertical slice through </w:t>
      </w:r>
      <w:proofErr w:type="spellStart"/>
      <w:r w:rsidRPr="007740C0">
        <w:t>Blazor</w:t>
      </w:r>
      <w:proofErr w:type="spellEnd"/>
      <w:r w:rsidRPr="007740C0">
        <w:t> </w:t>
      </w:r>
      <w:r w:rsidRPr="007740C0">
        <w:rPr>
          <w:i/>
          <w:iCs/>
        </w:rPr>
        <w:t>and</w:t>
      </w:r>
      <w:r w:rsidRPr="007740C0">
        <w:t> React — this is the slice that proves the shared</w:t>
      </w:r>
      <w:r w:rsidRPr="007740C0">
        <w:noBreakHyphen/>
        <w:t>Api approach works before either UI goes further.</w:t>
      </w:r>
    </w:p>
    <w:p w14:paraId="7A9AEAA0" w14:textId="77777777" w:rsidR="007740C0" w:rsidRPr="007740C0" w:rsidRDefault="007740C0" w:rsidP="007740C0">
      <w:r w:rsidRPr="007740C0">
        <w:rPr>
          <w:b/>
          <w:bCs/>
        </w:rPr>
        <w:t xml:space="preserve">2 — Client </w:t>
      </w:r>
      <w:proofErr w:type="spellStart"/>
      <w:r w:rsidRPr="007740C0">
        <w:rPr>
          <w:b/>
          <w:bCs/>
        </w:rPr>
        <w:t>core</w:t>
      </w:r>
      <w:r w:rsidRPr="007740C0">
        <w:t>Physical</w:t>
      </w:r>
      <w:proofErr w:type="spellEnd"/>
      <w:r w:rsidRPr="007740C0">
        <w:t xml:space="preserve"> + Legal client CRUD</w:t>
      </w:r>
    </w:p>
    <w:p w14:paraId="2427E2DB" w14:textId="77777777" w:rsidR="007740C0" w:rsidRPr="007740C0" w:rsidRDefault="007740C0" w:rsidP="007740C0">
      <w:r w:rsidRPr="007740C0">
        <w:t>Client onboarding forms, ownership structure editor, document attachment (via SharePoint), optimistic locking + edit</w:t>
      </w:r>
      <w:r w:rsidRPr="007740C0">
        <w:noBreakHyphen/>
        <w:t>session advisory lock. Highest</w:t>
      </w:r>
      <w:r w:rsidRPr="007740C0">
        <w:noBreakHyphen/>
        <w:t>value, highest</w:t>
      </w:r>
      <w:r w:rsidRPr="007740C0">
        <w:noBreakHyphen/>
        <w:t xml:space="preserve">complexity slice — get it right in </w:t>
      </w:r>
      <w:proofErr w:type="spellStart"/>
      <w:r w:rsidRPr="007740C0">
        <w:t>Blazor</w:t>
      </w:r>
      <w:proofErr w:type="spellEnd"/>
      <w:r w:rsidRPr="007740C0">
        <w:t xml:space="preserve"> before deciding how much of it the React build needs to mirror.</w:t>
      </w:r>
    </w:p>
    <w:p w14:paraId="2936A03C" w14:textId="77777777" w:rsidR="007740C0" w:rsidRPr="007740C0" w:rsidRDefault="007740C0" w:rsidP="007740C0">
      <w:r w:rsidRPr="007740C0">
        <w:rPr>
          <w:b/>
          <w:bCs/>
        </w:rPr>
        <w:t xml:space="preserve">3 — Risk &amp; HBOR </w:t>
      </w:r>
      <w:proofErr w:type="spellStart"/>
      <w:r w:rsidRPr="007740C0">
        <w:rPr>
          <w:b/>
          <w:bCs/>
        </w:rPr>
        <w:t>integration</w:t>
      </w:r>
      <w:r w:rsidRPr="007740C0">
        <w:t>Questionnaire</w:t>
      </w:r>
      <w:proofErr w:type="spellEnd"/>
      <w:r w:rsidRPr="007740C0">
        <w:t xml:space="preserve"> engine + client</w:t>
      </w:r>
      <w:r w:rsidRPr="007740C0">
        <w:noBreakHyphen/>
        <w:t>master data</w:t>
      </w:r>
    </w:p>
    <w:p w14:paraId="2FADEBE0" w14:textId="77777777" w:rsidR="007740C0" w:rsidRPr="007740C0" w:rsidRDefault="007740C0" w:rsidP="007740C0">
      <w:r w:rsidRPr="007740C0">
        <w:t>Configurable risk questionnaire/scoring strategy, PEP tracking across client/contact/owner, and an </w:t>
      </w:r>
      <w:proofErr w:type="spellStart"/>
      <w:r w:rsidRPr="007740C0">
        <w:t>IClientMasterDataProvider</w:t>
      </w:r>
      <w:proofErr w:type="spellEnd"/>
      <w:r w:rsidRPr="007740C0">
        <w:t> abstraction in front of HBOR client</w:t>
      </w:r>
      <w:r w:rsidRPr="007740C0">
        <w:noBreakHyphen/>
        <w:t>master data (§08) — interim implementation reads HBORIS directly, same as the legacy app, so this workstream doesn't stall waiting on HBOR to build an API. </w:t>
      </w:r>
      <w:proofErr w:type="spellStart"/>
      <w:r w:rsidRPr="007740C0">
        <w:rPr>
          <w:b/>
          <w:bCs/>
        </w:rPr>
        <w:t>SafeWatch</w:t>
      </w:r>
      <w:proofErr w:type="spellEnd"/>
      <w:r w:rsidRPr="007740C0">
        <w:rPr>
          <w:b/>
          <w:bCs/>
        </w:rPr>
        <w:t>/sanctions screening is descoped from this workstream entirely</w:t>
      </w:r>
      <w:r w:rsidRPr="007740C0">
        <w:t xml:space="preserve"> — decide before starting whether the workflow states that reference it </w:t>
      </w:r>
      <w:proofErr w:type="gramStart"/>
      <w:r w:rsidRPr="007740C0">
        <w:t>get</w:t>
      </w:r>
      <w:proofErr w:type="gramEnd"/>
      <w:r w:rsidRPr="007740C0">
        <w:t xml:space="preserve"> stubbed or removed for now.</w:t>
      </w:r>
    </w:p>
    <w:p w14:paraId="3E3EAE31" w14:textId="77777777" w:rsidR="007740C0" w:rsidRPr="007740C0" w:rsidRDefault="007740C0" w:rsidP="007740C0">
      <w:r w:rsidRPr="007740C0">
        <w:rPr>
          <w:b/>
          <w:bCs/>
        </w:rPr>
        <w:lastRenderedPageBreak/>
        <w:t xml:space="preserve">4 — Workflow &amp; </w:t>
      </w:r>
      <w:proofErr w:type="spellStart"/>
      <w:r w:rsidRPr="007740C0">
        <w:rPr>
          <w:b/>
          <w:bCs/>
        </w:rPr>
        <w:t>approvals</w:t>
      </w:r>
      <w:r w:rsidRPr="007740C0">
        <w:t>State</w:t>
      </w:r>
      <w:proofErr w:type="spellEnd"/>
      <w:r w:rsidRPr="007740C0">
        <w:t xml:space="preserve"> machine + maker</w:t>
      </w:r>
      <w:r w:rsidRPr="007740C0">
        <w:noBreakHyphen/>
        <w:t>checker</w:t>
      </w:r>
    </w:p>
    <w:p w14:paraId="05AD6206" w14:textId="77777777" w:rsidR="007740C0" w:rsidRPr="007740C0" w:rsidRDefault="007740C0" w:rsidP="007740C0">
      <w:r w:rsidRPr="007740C0">
        <w:t>Processing</w:t>
      </w:r>
      <w:r w:rsidRPr="007740C0">
        <w:noBreakHyphen/>
        <w:t xml:space="preserve">status state machine (adjusted to skip or stub the </w:t>
      </w:r>
      <w:proofErr w:type="spellStart"/>
      <w:r w:rsidRPr="007740C0">
        <w:t>SafeWatch</w:t>
      </w:r>
      <w:proofErr w:type="spellEnd"/>
      <w:r w:rsidRPr="007740C0">
        <w:t xml:space="preserve"> states), two</w:t>
      </w:r>
      <w:r w:rsidRPr="007740C0">
        <w:noBreakHyphen/>
        <w:t>stage approval, MP_CHANGE accept/reject cycle for post</w:t>
      </w:r>
      <w:r w:rsidRPr="007740C0">
        <w:noBreakHyphen/>
        <w:t>activation edits (needs </w:t>
      </w:r>
      <w:proofErr w:type="spellStart"/>
      <w:r w:rsidRPr="007740C0">
        <w:t>CL_MatPod_Compare</w:t>
      </w:r>
      <w:proofErr w:type="spellEnd"/>
      <w:r w:rsidRPr="007740C0">
        <w:t> to get a primary key first — see §04), scheduled re</w:t>
      </w:r>
      <w:r w:rsidRPr="007740C0">
        <w:noBreakHyphen/>
        <w:t>review tasks, single</w:t>
      </w:r>
      <w:r w:rsidRPr="007740C0">
        <w:noBreakHyphen/>
        <w:t>session</w:t>
      </w:r>
      <w:r w:rsidRPr="007740C0">
        <w:noBreakHyphen/>
        <w:t>per</w:t>
      </w:r>
      <w:r w:rsidRPr="007740C0">
        <w:noBreakHyphen/>
        <w:t>user enforcement.</w:t>
      </w:r>
    </w:p>
    <w:p w14:paraId="679639F3" w14:textId="77777777" w:rsidR="007740C0" w:rsidRPr="007740C0" w:rsidRDefault="007740C0" w:rsidP="007740C0">
      <w:r w:rsidRPr="007740C0">
        <w:rPr>
          <w:b/>
          <w:bCs/>
        </w:rPr>
        <w:t xml:space="preserve">5 — Reporting &amp; remaining </w:t>
      </w:r>
      <w:proofErr w:type="spellStart"/>
      <w:r w:rsidRPr="007740C0">
        <w:rPr>
          <w:b/>
          <w:bCs/>
        </w:rPr>
        <w:t>screens</w:t>
      </w:r>
      <w:r w:rsidRPr="007740C0">
        <w:t>Dashboard</w:t>
      </w:r>
      <w:proofErr w:type="spellEnd"/>
      <w:r w:rsidRPr="007740C0">
        <w:t>, reports, admin, BEU/BINT clients</w:t>
      </w:r>
    </w:p>
    <w:p w14:paraId="0939FAD8" w14:textId="77777777" w:rsidR="007740C0" w:rsidRPr="007740C0" w:rsidRDefault="007740C0" w:rsidP="007740C0">
      <w:r w:rsidRPr="007740C0">
        <w:t>Dashboard, SSRS</w:t>
      </w:r>
      <w:r w:rsidRPr="007740C0">
        <w:noBreakHyphen/>
        <w:t>embedded reports, Excel export, bank</w:t>
      </w:r>
      <w:r w:rsidRPr="007740C0">
        <w:noBreakHyphen/>
        <w:t xml:space="preserve">client (EU/international) variants, revision/audit views, admin (users/roles/objects). </w:t>
      </w:r>
      <w:proofErr w:type="spellStart"/>
      <w:r w:rsidRPr="007740C0">
        <w:t>Blazor</w:t>
      </w:r>
      <w:proofErr w:type="spellEnd"/>
      <w:r w:rsidRPr="007740C0">
        <w:t xml:space="preserve"> gets full parity here; decide at this point how much (if any) the React build needs to cover, given it's a comparison exercise rather than a second production UI.</w:t>
      </w:r>
    </w:p>
    <w:p w14:paraId="1058E299" w14:textId="77777777" w:rsidR="007740C0" w:rsidRPr="007740C0" w:rsidRDefault="007740C0" w:rsidP="007740C0">
      <w:r w:rsidRPr="007740C0">
        <w:rPr>
          <w:b/>
          <w:bCs/>
        </w:rPr>
        <w:t xml:space="preserve">6 — </w:t>
      </w:r>
      <w:proofErr w:type="spellStart"/>
      <w:r w:rsidRPr="007740C0">
        <w:rPr>
          <w:b/>
          <w:bCs/>
        </w:rPr>
        <w:t>Cutover</w:t>
      </w:r>
      <w:r w:rsidRPr="007740C0">
        <w:t>Verification</w:t>
      </w:r>
      <w:proofErr w:type="spellEnd"/>
      <w:r w:rsidRPr="007740C0">
        <w:t xml:space="preserve"> + go</w:t>
      </w:r>
      <w:r w:rsidRPr="007740C0">
        <w:noBreakHyphen/>
        <w:t>live</w:t>
      </w:r>
    </w:p>
    <w:p w14:paraId="3CF9CEEA" w14:textId="77777777" w:rsidR="007740C0" w:rsidRPr="007740C0" w:rsidRDefault="007740C0" w:rsidP="007740C0">
      <w:r w:rsidRPr="007740C0">
        <w:t>Full data verification against the live schema (no migration needed — same database), credential rotation for the new app's own service accounts, a short parallel</w:t>
      </w:r>
      <w:r w:rsidRPr="007740C0">
        <w:noBreakHyphen/>
        <w:t>verification window immediately before go</w:t>
      </w:r>
      <w:r w:rsidRPr="007740C0">
        <w:noBreakHyphen/>
        <w:t xml:space="preserve">live, then switch users over and retire the </w:t>
      </w:r>
      <w:proofErr w:type="spellStart"/>
      <w:r w:rsidRPr="007740C0">
        <w:t>Vaadin</w:t>
      </w:r>
      <w:proofErr w:type="spellEnd"/>
      <w:r w:rsidRPr="007740C0">
        <w:t xml:space="preserve"> app in one move.</w:t>
      </w:r>
    </w:p>
    <w:p w14:paraId="5683BDD9" w14:textId="77777777" w:rsidR="007740C0" w:rsidRPr="007740C0" w:rsidRDefault="007740C0" w:rsidP="007740C0">
      <w:r w:rsidRPr="007740C0">
        <w:t>08</w:t>
      </w:r>
    </w:p>
    <w:p w14:paraId="17171BAE" w14:textId="77777777" w:rsidR="007740C0" w:rsidRPr="007740C0" w:rsidRDefault="007740C0" w:rsidP="007740C0">
      <w:pPr>
        <w:rPr>
          <w:b/>
          <w:bCs/>
        </w:rPr>
      </w:pPr>
      <w:r w:rsidRPr="007740C0">
        <w:rPr>
          <w:b/>
          <w:bCs/>
        </w:rPr>
        <w:t>Decisions &amp; what's still open</w:t>
      </w:r>
    </w:p>
    <w:p w14:paraId="6C8DA0A0" w14:textId="77777777" w:rsidR="007740C0" w:rsidRPr="007740C0" w:rsidRDefault="007740C0" w:rsidP="007740C0">
      <w:r w:rsidRPr="007740C0">
        <w:rPr>
          <w:b/>
          <w:bCs/>
        </w:rPr>
        <w:t xml:space="preserve">✓Front end: </w:t>
      </w:r>
      <w:proofErr w:type="spellStart"/>
      <w:r w:rsidRPr="007740C0">
        <w:rPr>
          <w:b/>
          <w:bCs/>
        </w:rPr>
        <w:t>Blazor</w:t>
      </w:r>
      <w:proofErr w:type="spellEnd"/>
      <w:r w:rsidRPr="007740C0">
        <w:rPr>
          <w:b/>
          <w:bCs/>
        </w:rPr>
        <w:t xml:space="preserve"> Server primary, React as a separate comparison project</w:t>
      </w:r>
    </w:p>
    <w:p w14:paraId="1057FFBB" w14:textId="77777777" w:rsidR="007740C0" w:rsidRPr="007740C0" w:rsidRDefault="007740C0" w:rsidP="007740C0">
      <w:r w:rsidRPr="007740C0">
        <w:t>Both consume </w:t>
      </w:r>
      <w:proofErr w:type="spellStart"/>
      <w:r w:rsidRPr="007740C0">
        <w:t>eKYC.Api</w:t>
      </w:r>
      <w:proofErr w:type="spellEnd"/>
      <w:r w:rsidRPr="007740C0">
        <w:t> rather than either calling Application/</w:t>
      </w:r>
      <w:proofErr w:type="spellStart"/>
      <w:r w:rsidRPr="007740C0">
        <w:t>DataAccess</w:t>
      </w:r>
      <w:proofErr w:type="spellEnd"/>
      <w:r w:rsidRPr="007740C0">
        <w:t xml:space="preserve"> directly — that's what makes an honest comparison possible. Recommend scoping React to workstream 1 (and optionally 2) rather than chasing full parity with </w:t>
      </w:r>
      <w:proofErr w:type="spellStart"/>
      <w:r w:rsidRPr="007740C0">
        <w:t>Blazor</w:t>
      </w:r>
      <w:proofErr w:type="spellEnd"/>
      <w:r w:rsidRPr="007740C0">
        <w:t>; decide after seeing both in practice whether it's worth carrying further.</w:t>
      </w:r>
    </w:p>
    <w:p w14:paraId="1AFA681A" w14:textId="77777777" w:rsidR="007740C0" w:rsidRPr="007740C0" w:rsidRDefault="007740C0" w:rsidP="007740C0">
      <w:r w:rsidRPr="007740C0">
        <w:rPr>
          <w:b/>
          <w:bCs/>
        </w:rPr>
        <w:t>✓Strategy: big</w:t>
      </w:r>
      <w:r w:rsidRPr="007740C0">
        <w:rPr>
          <w:b/>
          <w:bCs/>
        </w:rPr>
        <w:noBreakHyphen/>
        <w:t>bang</w:t>
      </w:r>
    </w:p>
    <w:p w14:paraId="137865A5" w14:textId="77777777" w:rsidR="007740C0" w:rsidRPr="007740C0" w:rsidRDefault="007740C0" w:rsidP="007740C0">
      <w:r w:rsidRPr="007740C0">
        <w:t xml:space="preserve">The bank keeps using the current </w:t>
      </w:r>
      <w:proofErr w:type="spellStart"/>
      <w:r w:rsidRPr="007740C0">
        <w:t>Vaadin</w:t>
      </w:r>
      <w:proofErr w:type="spellEnd"/>
      <w:r w:rsidRPr="007740C0">
        <w:t xml:space="preserve"> app untouched until the .NET build reaches full parity, then cuts over once. This removes the "two systems against one schema" complexity a phased approach would have introduced, but it does mean nothing ships to real users until workstream 5 is done — worth keeping an internal demo environment live from workstream 1 onward so stakeholders can see progress without it being a production dependency.</w:t>
      </w:r>
    </w:p>
    <w:p w14:paraId="0CE02743" w14:textId="77777777" w:rsidR="007740C0" w:rsidRPr="007740C0" w:rsidRDefault="007740C0" w:rsidP="007740C0">
      <w:r w:rsidRPr="007740C0">
        <w:rPr>
          <w:b/>
          <w:bCs/>
        </w:rPr>
        <w:t>✓Schema: kept as</w:t>
      </w:r>
      <w:r w:rsidRPr="007740C0">
        <w:rPr>
          <w:b/>
          <w:bCs/>
        </w:rPr>
        <w:noBreakHyphen/>
        <w:t>is</w:t>
      </w:r>
    </w:p>
    <w:p w14:paraId="0E4EF149" w14:textId="77777777" w:rsidR="007740C0" w:rsidRPr="007740C0" w:rsidRDefault="007740C0" w:rsidP="007740C0">
      <w:r w:rsidRPr="007740C0">
        <w:t>No data migration step. Dapper repositories map directly to the existing Croatian</w:t>
      </w:r>
      <w:r w:rsidRPr="007740C0">
        <w:noBreakHyphen/>
        <w:t>abbreviated table/column names. Where a name would be actively confusing in C# (e.g. </w:t>
      </w:r>
      <w:proofErr w:type="spellStart"/>
      <w:r w:rsidRPr="007740C0">
        <w:t>CL_Clnt_Ownr_Hrchy</w:t>
      </w:r>
      <w:proofErr w:type="spellEnd"/>
      <w:r w:rsidRPr="007740C0">
        <w:t>), alias it in the SELECT rather than renaming the column, consistent with this project's own Dapper convention.</w:t>
      </w:r>
    </w:p>
    <w:p w14:paraId="058B3CFD" w14:textId="77777777" w:rsidR="007740C0" w:rsidRPr="007740C0" w:rsidRDefault="007740C0" w:rsidP="007740C0">
      <w:r w:rsidRPr="007740C0">
        <w:rPr>
          <w:b/>
          <w:bCs/>
        </w:rPr>
        <w:t>✓SSO: Kerberos/AD preserved</w:t>
      </w:r>
    </w:p>
    <w:p w14:paraId="49AF639E" w14:textId="77777777" w:rsidR="007740C0" w:rsidRPr="007740C0" w:rsidRDefault="007740C0" w:rsidP="007740C0">
      <w:r w:rsidRPr="007740C0">
        <w:t>Implement via </w:t>
      </w:r>
      <w:proofErr w:type="spellStart"/>
      <w:proofErr w:type="gramStart"/>
      <w:r w:rsidRPr="007740C0">
        <w:t>Microsoft.AspNetCore.Authentication.Negotiate</w:t>
      </w:r>
      <w:proofErr w:type="spellEnd"/>
      <w:proofErr w:type="gramEnd"/>
      <w:r w:rsidRPr="007740C0">
        <w:t>, same SPNEGO flow as today, same service</w:t>
      </w:r>
      <w:r w:rsidRPr="007740C0">
        <w:noBreakHyphen/>
        <w:t>principal/</w:t>
      </w:r>
      <w:proofErr w:type="spellStart"/>
      <w:r w:rsidRPr="007740C0">
        <w:t>keytab</w:t>
      </w:r>
      <w:proofErr w:type="spellEnd"/>
      <w:r w:rsidRPr="007740C0">
        <w:t xml:space="preserve"> pattern on the hosting server.</w:t>
      </w:r>
    </w:p>
    <w:p w14:paraId="688D7698" w14:textId="77777777" w:rsidR="007740C0" w:rsidRPr="007740C0" w:rsidRDefault="007740C0" w:rsidP="007740C0">
      <w:r w:rsidRPr="007740C0">
        <w:rPr>
          <w:b/>
          <w:bCs/>
        </w:rPr>
        <w:t>✓</w:t>
      </w:r>
      <w:proofErr w:type="spellStart"/>
      <w:r w:rsidRPr="007740C0">
        <w:rPr>
          <w:b/>
          <w:bCs/>
        </w:rPr>
        <w:t>row_version</w:t>
      </w:r>
      <w:proofErr w:type="spellEnd"/>
      <w:r w:rsidRPr="007740C0">
        <w:rPr>
          <w:b/>
          <w:bCs/>
        </w:rPr>
        <w:t> + </w:t>
      </w:r>
      <w:proofErr w:type="spellStart"/>
      <w:r w:rsidRPr="007740C0">
        <w:rPr>
          <w:b/>
          <w:bCs/>
        </w:rPr>
        <w:t>tenant_id</w:t>
      </w:r>
      <w:proofErr w:type="spellEnd"/>
      <w:r w:rsidRPr="007740C0">
        <w:rPr>
          <w:b/>
          <w:bCs/>
        </w:rPr>
        <w:t>: both added, additively</w:t>
      </w:r>
    </w:p>
    <w:p w14:paraId="160B8907" w14:textId="77777777" w:rsidR="007740C0" w:rsidRPr="007740C0" w:rsidRDefault="007740C0" w:rsidP="007740C0">
      <w:proofErr w:type="spellStart"/>
      <w:r w:rsidRPr="007740C0">
        <w:lastRenderedPageBreak/>
        <w:t>row_version</w:t>
      </w:r>
      <w:proofErr w:type="spellEnd"/>
      <w:r w:rsidRPr="007740C0">
        <w:t> gives Pattern</w:t>
      </w:r>
      <w:r w:rsidRPr="007740C0">
        <w:noBreakHyphen/>
        <w:t>1 optimistic locking on concurrency</w:t>
      </w:r>
      <w:r w:rsidRPr="007740C0">
        <w:noBreakHyphen/>
        <w:t>controlled tables (correcting the earlier label — this is the optimistic control; the edit</w:t>
      </w:r>
      <w:r w:rsidRPr="007740C0">
        <w:noBreakHyphen/>
        <w:t>session advisory lock above is the pessimistic one, they're complementary, not the same thing). </w:t>
      </w:r>
      <w:proofErr w:type="spellStart"/>
      <w:r w:rsidRPr="007740C0">
        <w:t>tenant_id</w:t>
      </w:r>
      <w:proofErr w:type="spellEnd"/>
      <w:r w:rsidRPr="007740C0">
        <w:t> is added now, on relevant tables, in a shared</w:t>
      </w:r>
      <w:r w:rsidRPr="007740C0">
        <w:noBreakHyphen/>
        <w:t>schema/discriminator</w:t>
      </w:r>
      <w:r w:rsidRPr="007740C0">
        <w:noBreakHyphen/>
        <w:t>column model, purely to avoid a retrofit later — the app stays single</w:t>
      </w:r>
      <w:r w:rsidRPr="007740C0">
        <w:noBreakHyphen/>
        <w:t>tenant in behavior until multi</w:t>
      </w:r>
      <w:r w:rsidRPr="007740C0">
        <w:noBreakHyphen/>
        <w:t>tenancy is actually built out.</w:t>
      </w:r>
    </w:p>
    <w:p w14:paraId="539482EB" w14:textId="77777777" w:rsidR="007740C0" w:rsidRPr="007740C0" w:rsidRDefault="007740C0" w:rsidP="007740C0">
      <w:r w:rsidRPr="007740C0">
        <w:rPr>
          <w:b/>
          <w:bCs/>
        </w:rPr>
        <w:t>✓</w:t>
      </w:r>
      <w:proofErr w:type="spellStart"/>
      <w:r w:rsidRPr="007740C0">
        <w:rPr>
          <w:b/>
          <w:bCs/>
        </w:rPr>
        <w:t>SafeWatch</w:t>
      </w:r>
      <w:proofErr w:type="spellEnd"/>
      <w:r w:rsidRPr="007740C0">
        <w:rPr>
          <w:b/>
          <w:bCs/>
        </w:rPr>
        <w:t>: out of scope for the initial build</w:t>
      </w:r>
    </w:p>
    <w:p w14:paraId="036F661D" w14:textId="77777777" w:rsidR="007740C0" w:rsidRPr="007740C0" w:rsidRDefault="007740C0" w:rsidP="007740C0">
      <w:r w:rsidRPr="007740C0">
        <w:t>Not going into workstream 3 or anywhere else in this phase. Still needs a decision before workstream 4: does the processing</w:t>
      </w:r>
      <w:r w:rsidRPr="007740C0">
        <w:noBreakHyphen/>
        <w:t>status state machine keep placeholder SAFEWATCH PROVJERA/OK/NOT OK states (skipped/auto</w:t>
      </w:r>
      <w:r w:rsidRPr="007740C0">
        <w:noBreakHyphen/>
        <w:t>passed), or get redesigned without them for now? Flagged below.</w:t>
      </w:r>
    </w:p>
    <w:p w14:paraId="63AD19DC" w14:textId="77777777" w:rsidR="007740C0" w:rsidRPr="007740C0" w:rsidRDefault="007740C0" w:rsidP="007740C0">
      <w:r w:rsidRPr="007740C0">
        <w:rPr>
          <w:b/>
          <w:bCs/>
        </w:rPr>
        <w:t>✓SharePoint: stays</w:t>
      </w:r>
    </w:p>
    <w:p w14:paraId="02C5F706" w14:textId="77777777" w:rsidR="007740C0" w:rsidRPr="007740C0" w:rsidRDefault="007740C0" w:rsidP="007740C0">
      <w:r w:rsidRPr="007740C0">
        <w:t>Ported as</w:t>
      </w:r>
      <w:r w:rsidRPr="007740C0">
        <w:noBreakHyphen/>
        <w:t>is rather than retired — </w:t>
      </w:r>
      <w:proofErr w:type="spellStart"/>
      <w:r w:rsidRPr="007740C0">
        <w:t>eKYC.Application</w:t>
      </w:r>
      <w:proofErr w:type="spellEnd"/>
      <w:r w:rsidRPr="007740C0">
        <w:t> keeps a SharePoint document client.</w:t>
      </w:r>
    </w:p>
    <w:p w14:paraId="7FA25C72" w14:textId="77777777" w:rsidR="007740C0" w:rsidRPr="007740C0" w:rsidRDefault="007740C0" w:rsidP="007740C0">
      <w:r w:rsidRPr="007740C0">
        <w:rPr>
          <w:b/>
          <w:bCs/>
        </w:rPr>
        <w:t>✓Deployment: IIS, Docker kept open</w:t>
      </w:r>
    </w:p>
    <w:p w14:paraId="12C17542" w14:textId="77777777" w:rsidR="007740C0" w:rsidRPr="007740C0" w:rsidRDefault="007740C0" w:rsidP="007740C0">
      <w:r w:rsidRPr="007740C0">
        <w:t>Primary target is IIS/Windows Server, same as this workspace's other projects. Nothing in the planned architecture is IIS</w:t>
      </w:r>
      <w:r w:rsidRPr="007740C0">
        <w:noBreakHyphen/>
        <w:t>only (ASP.NET Core's Kestrel + reverse proxy model works the same under IIS or a container), so this doesn't add constraints beyond normal good practice — just avoid anything that would specifically assume IIS (e.g. reading server variables IIS injects that a container wouldn't have).</w:t>
      </w:r>
    </w:p>
    <w:p w14:paraId="22BC287D" w14:textId="77777777" w:rsidR="007740C0" w:rsidRPr="007740C0" w:rsidRDefault="007740C0" w:rsidP="007740C0">
      <w:r w:rsidRPr="007740C0">
        <w:rPr>
          <w:b/>
          <w:bCs/>
        </w:rPr>
        <w:t>✓HBOR integration: no API exists yet — it's on HBOR to build/expose one</w:t>
      </w:r>
    </w:p>
    <w:p w14:paraId="276A1023" w14:textId="77777777" w:rsidR="007740C0" w:rsidRPr="007740C0" w:rsidRDefault="007740C0" w:rsidP="007740C0">
      <w:r w:rsidRPr="007740C0">
        <w:t>Confirmed: HBOR doesn't currently expose an API for client</w:t>
      </w:r>
      <w:r w:rsidRPr="007740C0">
        <w:noBreakHyphen/>
        <w:t xml:space="preserve">master data. </w:t>
      </w:r>
      <w:proofErr w:type="spellStart"/>
      <w:r w:rsidRPr="007740C0">
        <w:t>Trikord</w:t>
      </w:r>
      <w:proofErr w:type="spellEnd"/>
      <w:r w:rsidRPr="007740C0">
        <w:t xml:space="preserve"> will recommend/request that HBOR build and expose one, rather than </w:t>
      </w:r>
      <w:proofErr w:type="spellStart"/>
      <w:r w:rsidRPr="007740C0">
        <w:t>Trikord</w:t>
      </w:r>
      <w:proofErr w:type="spellEnd"/>
      <w:r w:rsidRPr="007740C0">
        <w:t xml:space="preserve"> building a facade in front of the linked server themselves.</w:t>
      </w:r>
    </w:p>
    <w:p w14:paraId="2AF9E88E" w14:textId="77777777" w:rsidR="007740C0" w:rsidRPr="007740C0" w:rsidRDefault="007740C0" w:rsidP="007740C0">
      <w:r w:rsidRPr="007740C0">
        <w:t>Dependency risk</w:t>
      </w:r>
    </w:p>
    <w:p w14:paraId="505B6142" w14:textId="77777777" w:rsidR="007740C0" w:rsidRPr="007740C0" w:rsidRDefault="007740C0" w:rsidP="007740C0">
      <w:r w:rsidRPr="007740C0">
        <w:rPr>
          <w:b/>
          <w:bCs/>
        </w:rPr>
        <w:t xml:space="preserve">Workstream 3 now has an external dependency </w:t>
      </w:r>
      <w:proofErr w:type="spellStart"/>
      <w:r w:rsidRPr="007740C0">
        <w:rPr>
          <w:b/>
          <w:bCs/>
        </w:rPr>
        <w:t>Trikord</w:t>
      </w:r>
      <w:proofErr w:type="spellEnd"/>
      <w:r w:rsidRPr="007740C0">
        <w:rPr>
          <w:b/>
          <w:bCs/>
        </w:rPr>
        <w:t xml:space="preserve"> doesn't control</w:t>
      </w:r>
    </w:p>
    <w:p w14:paraId="5CAEFA5D" w14:textId="77777777" w:rsidR="007740C0" w:rsidRPr="007740C0" w:rsidRDefault="007740C0" w:rsidP="007740C0">
      <w:r w:rsidRPr="007740C0">
        <w:t xml:space="preserve">Given </w:t>
      </w:r>
      <w:proofErr w:type="spellStart"/>
      <w:r w:rsidRPr="007740C0">
        <w:t>the</w:t>
      </w:r>
      <w:r w:rsidRPr="007740C0">
        <w:rPr>
          <w:b/>
          <w:bCs/>
        </w:rPr>
        <w:t>big</w:t>
      </w:r>
      <w:r w:rsidRPr="007740C0">
        <w:rPr>
          <w:b/>
          <w:bCs/>
        </w:rPr>
        <w:noBreakHyphen/>
        <w:t>bang</w:t>
      </w:r>
      <w:r w:rsidRPr="007740C0">
        <w:t>strategy</w:t>
      </w:r>
      <w:proofErr w:type="spellEnd"/>
      <w:r w:rsidRPr="007740C0">
        <w:t xml:space="preserve"> (§08) — the whole rewrite ships as one cutover — a delayed or never</w:t>
      </w:r>
      <w:r w:rsidRPr="007740C0">
        <w:noBreakHyphen/>
        <w:t>delivered HBOR API could stall the entire release, not just one feature. Recommended mitigation: define the HBOR read as an interface in </w:t>
      </w:r>
      <w:proofErr w:type="spellStart"/>
      <w:r w:rsidRPr="007740C0">
        <w:t>eKYC.Application</w:t>
      </w:r>
      <w:proofErr w:type="spellEnd"/>
      <w:r w:rsidRPr="007740C0">
        <w:t> (e.g. </w:t>
      </w:r>
      <w:proofErr w:type="spellStart"/>
      <w:r w:rsidRPr="007740C0">
        <w:t>IClientMasterDataProvider</w:t>
      </w:r>
      <w:proofErr w:type="spellEnd"/>
      <w:r w:rsidRPr="007740C0">
        <w:t>) from the start, and ship an interim implementation that reads HBORIS the same way the legacy app does today (cross</w:t>
      </w:r>
      <w:r w:rsidRPr="007740C0">
        <w:noBreakHyphen/>
        <w:t>database query against the linked server) — functionally identical to now, just behind a clean seam. The rest of the rewrite (risk scoring, PEP tracking, everything downstream of client</w:t>
      </w:r>
      <w:r w:rsidRPr="007740C0">
        <w:noBreakHyphen/>
        <w:t>master data) can proceed against that interface immediately. When HBOR ships a real API, swap in a second implementation and repoint the DI registration — no change needed anywhere else. This keeps the "move to an API" goal on the roadmap without letting an outside team's timeline gate the whole cutover.</w:t>
      </w:r>
    </w:p>
    <w:p w14:paraId="3FC7B660" w14:textId="77777777" w:rsidR="007740C0" w:rsidRPr="007740C0" w:rsidRDefault="007740C0" w:rsidP="007740C0">
      <w:pPr>
        <w:rPr>
          <w:b/>
          <w:bCs/>
        </w:rPr>
      </w:pPr>
      <w:r w:rsidRPr="007740C0">
        <w:rPr>
          <w:b/>
          <w:bCs/>
        </w:rPr>
        <w:t>Still open, not blocking yet</w:t>
      </w:r>
    </w:p>
    <w:p w14:paraId="6BAC4CA0" w14:textId="77777777" w:rsidR="007740C0" w:rsidRPr="007740C0" w:rsidRDefault="007740C0" w:rsidP="007740C0">
      <w:pPr>
        <w:numPr>
          <w:ilvl w:val="0"/>
          <w:numId w:val="6"/>
        </w:numPr>
      </w:pPr>
      <w:r w:rsidRPr="007740C0">
        <w:lastRenderedPageBreak/>
        <w:t>Whether the legacy workflow's SAFEWATCH</w:t>
      </w:r>
      <w:r w:rsidRPr="007740C0">
        <w:noBreakHyphen/>
        <w:t>related processing states get stubbed or dropped for now — needed before workstream 4.</w:t>
      </w:r>
    </w:p>
    <w:p w14:paraId="4C048877" w14:textId="77777777" w:rsidR="007740C0" w:rsidRPr="007740C0" w:rsidRDefault="007740C0" w:rsidP="007740C0">
      <w:pPr>
        <w:numPr>
          <w:ilvl w:val="0"/>
          <w:numId w:val="6"/>
        </w:numPr>
      </w:pPr>
      <w:r w:rsidRPr="007740C0">
        <w:t>Any written regulatory/compliance requirements — confirmed none exist right now; test coverage will be driven by the workflow and schema as reverse</w:t>
      </w:r>
      <w:r w:rsidRPr="007740C0">
        <w:noBreakHyphen/>
        <w:t>engineered instead.</w:t>
      </w:r>
    </w:p>
    <w:p w14:paraId="6F3D8E4D" w14:textId="64F41E43" w:rsidR="00DD444B" w:rsidRDefault="007740C0" w:rsidP="007740C0">
      <w:proofErr w:type="spellStart"/>
      <w:r w:rsidRPr="007740C0">
        <w:t>eKYC</w:t>
      </w:r>
      <w:proofErr w:type="spellEnd"/>
      <w:r w:rsidRPr="007740C0">
        <w:t xml:space="preserve"> → .NET migration analysis · code read from C:\Podhvati\eKYC-2\main · schema verified against local dev DB (read</w:t>
      </w:r>
      <w:r w:rsidRPr="007740C0">
        <w:noBreakHyphen/>
        <w:t>only) · no code or data changed</w:t>
      </w:r>
    </w:p>
    <w:sectPr w:rsidR="00DD444B" w:rsidSect="0038384D">
      <w:pgSz w:w="11907" w:h="16840" w:code="9"/>
      <w:pgMar w:top="1134" w:right="851" w:bottom="851"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DD395F"/>
    <w:multiLevelType w:val="multilevel"/>
    <w:tmpl w:val="8304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B838DC"/>
    <w:multiLevelType w:val="multilevel"/>
    <w:tmpl w:val="3122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DD4EDC"/>
    <w:multiLevelType w:val="multilevel"/>
    <w:tmpl w:val="2E4E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A43793"/>
    <w:multiLevelType w:val="multilevel"/>
    <w:tmpl w:val="682C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457490"/>
    <w:multiLevelType w:val="multilevel"/>
    <w:tmpl w:val="1240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5E48BA"/>
    <w:multiLevelType w:val="multilevel"/>
    <w:tmpl w:val="B4D2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265958">
    <w:abstractNumId w:val="2"/>
  </w:num>
  <w:num w:numId="2" w16cid:durableId="951933580">
    <w:abstractNumId w:val="5"/>
  </w:num>
  <w:num w:numId="3" w16cid:durableId="1444227183">
    <w:abstractNumId w:val="4"/>
  </w:num>
  <w:num w:numId="4" w16cid:durableId="1786801091">
    <w:abstractNumId w:val="3"/>
  </w:num>
  <w:num w:numId="5" w16cid:durableId="415326806">
    <w:abstractNumId w:val="0"/>
  </w:num>
  <w:num w:numId="6" w16cid:durableId="19483935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F1C"/>
    <w:rsid w:val="000C44EE"/>
    <w:rsid w:val="0038384D"/>
    <w:rsid w:val="005762A9"/>
    <w:rsid w:val="005E63F1"/>
    <w:rsid w:val="007740C0"/>
    <w:rsid w:val="00884F1C"/>
    <w:rsid w:val="00DD444B"/>
    <w:rsid w:val="00F34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F15FAA-54EC-4624-AD54-0ACA3B67C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F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4F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4F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4F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4F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4F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F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F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F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F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4F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4F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4F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4F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4F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F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F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F1C"/>
    <w:rPr>
      <w:rFonts w:eastAsiaTheme="majorEastAsia" w:cstheme="majorBidi"/>
      <w:color w:val="272727" w:themeColor="text1" w:themeTint="D8"/>
    </w:rPr>
  </w:style>
  <w:style w:type="paragraph" w:styleId="Title">
    <w:name w:val="Title"/>
    <w:basedOn w:val="Normal"/>
    <w:next w:val="Normal"/>
    <w:link w:val="TitleChar"/>
    <w:uiPriority w:val="10"/>
    <w:qFormat/>
    <w:rsid w:val="00884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F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F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F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F1C"/>
    <w:pPr>
      <w:spacing w:before="160"/>
      <w:jc w:val="center"/>
    </w:pPr>
    <w:rPr>
      <w:i/>
      <w:iCs/>
      <w:color w:val="404040" w:themeColor="text1" w:themeTint="BF"/>
    </w:rPr>
  </w:style>
  <w:style w:type="character" w:customStyle="1" w:styleId="QuoteChar">
    <w:name w:val="Quote Char"/>
    <w:basedOn w:val="DefaultParagraphFont"/>
    <w:link w:val="Quote"/>
    <w:uiPriority w:val="29"/>
    <w:rsid w:val="00884F1C"/>
    <w:rPr>
      <w:i/>
      <w:iCs/>
      <w:color w:val="404040" w:themeColor="text1" w:themeTint="BF"/>
    </w:rPr>
  </w:style>
  <w:style w:type="paragraph" w:styleId="ListParagraph">
    <w:name w:val="List Paragraph"/>
    <w:basedOn w:val="Normal"/>
    <w:uiPriority w:val="34"/>
    <w:qFormat/>
    <w:rsid w:val="00884F1C"/>
    <w:pPr>
      <w:ind w:left="720"/>
      <w:contextualSpacing/>
    </w:pPr>
  </w:style>
  <w:style w:type="character" w:styleId="IntenseEmphasis">
    <w:name w:val="Intense Emphasis"/>
    <w:basedOn w:val="DefaultParagraphFont"/>
    <w:uiPriority w:val="21"/>
    <w:qFormat/>
    <w:rsid w:val="00884F1C"/>
    <w:rPr>
      <w:i/>
      <w:iCs/>
      <w:color w:val="0F4761" w:themeColor="accent1" w:themeShade="BF"/>
    </w:rPr>
  </w:style>
  <w:style w:type="paragraph" w:styleId="IntenseQuote">
    <w:name w:val="Intense Quote"/>
    <w:basedOn w:val="Normal"/>
    <w:next w:val="Normal"/>
    <w:link w:val="IntenseQuoteChar"/>
    <w:uiPriority w:val="30"/>
    <w:qFormat/>
    <w:rsid w:val="00884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4F1C"/>
    <w:rPr>
      <w:i/>
      <w:iCs/>
      <w:color w:val="0F4761" w:themeColor="accent1" w:themeShade="BF"/>
    </w:rPr>
  </w:style>
  <w:style w:type="character" w:styleId="IntenseReference">
    <w:name w:val="Intense Reference"/>
    <w:basedOn w:val="DefaultParagraphFont"/>
    <w:uiPriority w:val="32"/>
    <w:qFormat/>
    <w:rsid w:val="00884F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700994">
      <w:bodyDiv w:val="1"/>
      <w:marLeft w:val="0"/>
      <w:marRight w:val="0"/>
      <w:marTop w:val="0"/>
      <w:marBottom w:val="0"/>
      <w:divBdr>
        <w:top w:val="none" w:sz="0" w:space="0" w:color="auto"/>
        <w:left w:val="none" w:sz="0" w:space="0" w:color="auto"/>
        <w:bottom w:val="none" w:sz="0" w:space="0" w:color="auto"/>
        <w:right w:val="none" w:sz="0" w:space="0" w:color="auto"/>
      </w:divBdr>
      <w:divsChild>
        <w:div w:id="1159535074">
          <w:marLeft w:val="0"/>
          <w:marRight w:val="0"/>
          <w:marTop w:val="0"/>
          <w:marBottom w:val="0"/>
          <w:divBdr>
            <w:top w:val="none" w:sz="0" w:space="0" w:color="auto"/>
            <w:left w:val="none" w:sz="0" w:space="0" w:color="auto"/>
            <w:bottom w:val="single" w:sz="12" w:space="21" w:color="E7ECEA"/>
            <w:right w:val="none" w:sz="0" w:space="0" w:color="auto"/>
          </w:divBdr>
          <w:divsChild>
            <w:div w:id="2077585928">
              <w:marLeft w:val="0"/>
              <w:marRight w:val="0"/>
              <w:marTop w:val="0"/>
              <w:marBottom w:val="0"/>
              <w:divBdr>
                <w:top w:val="none" w:sz="0" w:space="0" w:color="auto"/>
                <w:left w:val="none" w:sz="0" w:space="0" w:color="auto"/>
                <w:bottom w:val="none" w:sz="0" w:space="0" w:color="auto"/>
                <w:right w:val="none" w:sz="0" w:space="0" w:color="auto"/>
              </w:divBdr>
              <w:divsChild>
                <w:div w:id="1926256775">
                  <w:marLeft w:val="0"/>
                  <w:marRight w:val="0"/>
                  <w:marTop w:val="0"/>
                  <w:marBottom w:val="0"/>
                  <w:divBdr>
                    <w:top w:val="none" w:sz="0" w:space="0" w:color="auto"/>
                    <w:left w:val="none" w:sz="0" w:space="0" w:color="auto"/>
                    <w:bottom w:val="none" w:sz="0" w:space="0" w:color="auto"/>
                    <w:right w:val="none" w:sz="0" w:space="0" w:color="auto"/>
                  </w:divBdr>
                </w:div>
                <w:div w:id="1476753195">
                  <w:marLeft w:val="0"/>
                  <w:marRight w:val="0"/>
                  <w:marTop w:val="0"/>
                  <w:marBottom w:val="0"/>
                  <w:divBdr>
                    <w:top w:val="none" w:sz="0" w:space="0" w:color="auto"/>
                    <w:left w:val="none" w:sz="0" w:space="0" w:color="auto"/>
                    <w:bottom w:val="none" w:sz="0" w:space="0" w:color="auto"/>
                    <w:right w:val="none" w:sz="0" w:space="0" w:color="auto"/>
                  </w:divBdr>
                </w:div>
                <w:div w:id="1669357484">
                  <w:marLeft w:val="0"/>
                  <w:marRight w:val="0"/>
                  <w:marTop w:val="0"/>
                  <w:marBottom w:val="0"/>
                  <w:divBdr>
                    <w:top w:val="none" w:sz="0" w:space="0" w:color="auto"/>
                    <w:left w:val="none" w:sz="0" w:space="0" w:color="auto"/>
                    <w:bottom w:val="none" w:sz="0" w:space="0" w:color="auto"/>
                    <w:right w:val="none" w:sz="0" w:space="0" w:color="auto"/>
                  </w:divBdr>
                </w:div>
                <w:div w:id="199059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16513">
          <w:marLeft w:val="0"/>
          <w:marRight w:val="0"/>
          <w:marTop w:val="0"/>
          <w:marBottom w:val="330"/>
          <w:divBdr>
            <w:top w:val="none" w:sz="0" w:space="0" w:color="auto"/>
            <w:left w:val="none" w:sz="0" w:space="0" w:color="auto"/>
            <w:bottom w:val="none" w:sz="0" w:space="0" w:color="auto"/>
            <w:right w:val="none" w:sz="0" w:space="0" w:color="auto"/>
          </w:divBdr>
        </w:div>
        <w:div w:id="189153297">
          <w:marLeft w:val="0"/>
          <w:marRight w:val="0"/>
          <w:marTop w:val="0"/>
          <w:marBottom w:val="0"/>
          <w:divBdr>
            <w:top w:val="none" w:sz="0" w:space="0" w:color="auto"/>
            <w:left w:val="none" w:sz="0" w:space="0" w:color="auto"/>
            <w:bottom w:val="none" w:sz="0" w:space="0" w:color="auto"/>
            <w:right w:val="none" w:sz="0" w:space="0" w:color="auto"/>
          </w:divBdr>
        </w:div>
        <w:div w:id="1394809376">
          <w:marLeft w:val="0"/>
          <w:marRight w:val="0"/>
          <w:marTop w:val="0"/>
          <w:marBottom w:val="0"/>
          <w:divBdr>
            <w:top w:val="none" w:sz="0" w:space="0" w:color="auto"/>
            <w:left w:val="none" w:sz="0" w:space="0" w:color="auto"/>
            <w:bottom w:val="none" w:sz="0" w:space="0" w:color="auto"/>
            <w:right w:val="none" w:sz="0" w:space="0" w:color="auto"/>
          </w:divBdr>
        </w:div>
        <w:div w:id="1303081075">
          <w:marLeft w:val="0"/>
          <w:marRight w:val="0"/>
          <w:marTop w:val="0"/>
          <w:marBottom w:val="330"/>
          <w:divBdr>
            <w:top w:val="none" w:sz="0" w:space="0" w:color="auto"/>
            <w:left w:val="none" w:sz="0" w:space="0" w:color="auto"/>
            <w:bottom w:val="none" w:sz="0" w:space="0" w:color="auto"/>
            <w:right w:val="none" w:sz="0" w:space="0" w:color="auto"/>
          </w:divBdr>
        </w:div>
        <w:div w:id="2002465429">
          <w:marLeft w:val="0"/>
          <w:marRight w:val="0"/>
          <w:marTop w:val="0"/>
          <w:marBottom w:val="330"/>
          <w:divBdr>
            <w:top w:val="none" w:sz="0" w:space="0" w:color="auto"/>
            <w:left w:val="none" w:sz="0" w:space="0" w:color="auto"/>
            <w:bottom w:val="none" w:sz="0" w:space="0" w:color="auto"/>
            <w:right w:val="none" w:sz="0" w:space="0" w:color="auto"/>
          </w:divBdr>
        </w:div>
        <w:div w:id="1215891746">
          <w:marLeft w:val="0"/>
          <w:marRight w:val="0"/>
          <w:marTop w:val="0"/>
          <w:marBottom w:val="0"/>
          <w:divBdr>
            <w:top w:val="none" w:sz="0" w:space="0" w:color="auto"/>
            <w:left w:val="none" w:sz="0" w:space="0" w:color="auto"/>
            <w:bottom w:val="none" w:sz="0" w:space="0" w:color="auto"/>
            <w:right w:val="none" w:sz="0" w:space="0" w:color="auto"/>
          </w:divBdr>
        </w:div>
        <w:div w:id="1542132207">
          <w:marLeft w:val="0"/>
          <w:marRight w:val="0"/>
          <w:marTop w:val="0"/>
          <w:marBottom w:val="330"/>
          <w:divBdr>
            <w:top w:val="none" w:sz="0" w:space="0" w:color="auto"/>
            <w:left w:val="none" w:sz="0" w:space="0" w:color="auto"/>
            <w:bottom w:val="none" w:sz="0" w:space="0" w:color="auto"/>
            <w:right w:val="none" w:sz="0" w:space="0" w:color="auto"/>
          </w:divBdr>
        </w:div>
        <w:div w:id="1716654829">
          <w:marLeft w:val="0"/>
          <w:marRight w:val="0"/>
          <w:marTop w:val="0"/>
          <w:marBottom w:val="0"/>
          <w:divBdr>
            <w:top w:val="none" w:sz="0" w:space="0" w:color="auto"/>
            <w:left w:val="none" w:sz="0" w:space="0" w:color="auto"/>
            <w:bottom w:val="none" w:sz="0" w:space="0" w:color="auto"/>
            <w:right w:val="none" w:sz="0" w:space="0" w:color="auto"/>
          </w:divBdr>
        </w:div>
        <w:div w:id="1484813431">
          <w:marLeft w:val="0"/>
          <w:marRight w:val="0"/>
          <w:marTop w:val="0"/>
          <w:marBottom w:val="330"/>
          <w:divBdr>
            <w:top w:val="none" w:sz="0" w:space="0" w:color="auto"/>
            <w:left w:val="none" w:sz="0" w:space="0" w:color="auto"/>
            <w:bottom w:val="none" w:sz="0" w:space="0" w:color="auto"/>
            <w:right w:val="none" w:sz="0" w:space="0" w:color="auto"/>
          </w:divBdr>
        </w:div>
        <w:div w:id="717508248">
          <w:marLeft w:val="0"/>
          <w:marRight w:val="0"/>
          <w:marTop w:val="180"/>
          <w:marBottom w:val="180"/>
          <w:divBdr>
            <w:top w:val="none" w:sz="0" w:space="0" w:color="auto"/>
            <w:left w:val="single" w:sz="18" w:space="12" w:color="C97070"/>
            <w:bottom w:val="none" w:sz="0" w:space="0" w:color="auto"/>
            <w:right w:val="none" w:sz="0" w:space="0" w:color="auto"/>
          </w:divBdr>
          <w:divsChild>
            <w:div w:id="482620415">
              <w:marLeft w:val="0"/>
              <w:marRight w:val="0"/>
              <w:marTop w:val="0"/>
              <w:marBottom w:val="0"/>
              <w:divBdr>
                <w:top w:val="none" w:sz="0" w:space="0" w:color="auto"/>
                <w:left w:val="none" w:sz="0" w:space="0" w:color="auto"/>
                <w:bottom w:val="none" w:sz="0" w:space="0" w:color="auto"/>
                <w:right w:val="none" w:sz="0" w:space="0" w:color="auto"/>
              </w:divBdr>
            </w:div>
            <w:div w:id="1171140052">
              <w:marLeft w:val="0"/>
              <w:marRight w:val="0"/>
              <w:marTop w:val="0"/>
              <w:marBottom w:val="0"/>
              <w:divBdr>
                <w:top w:val="none" w:sz="0" w:space="0" w:color="auto"/>
                <w:left w:val="none" w:sz="0" w:space="0" w:color="auto"/>
                <w:bottom w:val="none" w:sz="0" w:space="0" w:color="auto"/>
                <w:right w:val="none" w:sz="0" w:space="0" w:color="auto"/>
              </w:divBdr>
            </w:div>
          </w:divsChild>
        </w:div>
        <w:div w:id="356582250">
          <w:marLeft w:val="0"/>
          <w:marRight w:val="0"/>
          <w:marTop w:val="180"/>
          <w:marBottom w:val="180"/>
          <w:divBdr>
            <w:top w:val="none" w:sz="0" w:space="0" w:color="auto"/>
            <w:left w:val="single" w:sz="18" w:space="12" w:color="C97070"/>
            <w:bottom w:val="none" w:sz="0" w:space="0" w:color="auto"/>
            <w:right w:val="none" w:sz="0" w:space="0" w:color="auto"/>
          </w:divBdr>
          <w:divsChild>
            <w:div w:id="1286082587">
              <w:marLeft w:val="0"/>
              <w:marRight w:val="0"/>
              <w:marTop w:val="0"/>
              <w:marBottom w:val="0"/>
              <w:divBdr>
                <w:top w:val="none" w:sz="0" w:space="0" w:color="auto"/>
                <w:left w:val="none" w:sz="0" w:space="0" w:color="auto"/>
                <w:bottom w:val="none" w:sz="0" w:space="0" w:color="auto"/>
                <w:right w:val="none" w:sz="0" w:space="0" w:color="auto"/>
              </w:divBdr>
            </w:div>
            <w:div w:id="1535658443">
              <w:marLeft w:val="0"/>
              <w:marRight w:val="0"/>
              <w:marTop w:val="0"/>
              <w:marBottom w:val="0"/>
              <w:divBdr>
                <w:top w:val="none" w:sz="0" w:space="0" w:color="auto"/>
                <w:left w:val="none" w:sz="0" w:space="0" w:color="auto"/>
                <w:bottom w:val="none" w:sz="0" w:space="0" w:color="auto"/>
                <w:right w:val="none" w:sz="0" w:space="0" w:color="auto"/>
              </w:divBdr>
            </w:div>
          </w:divsChild>
        </w:div>
        <w:div w:id="128790162">
          <w:marLeft w:val="0"/>
          <w:marRight w:val="0"/>
          <w:marTop w:val="180"/>
          <w:marBottom w:val="180"/>
          <w:divBdr>
            <w:top w:val="none" w:sz="0" w:space="0" w:color="auto"/>
            <w:left w:val="single" w:sz="18" w:space="12" w:color="C97070"/>
            <w:bottom w:val="none" w:sz="0" w:space="0" w:color="auto"/>
            <w:right w:val="none" w:sz="0" w:space="0" w:color="auto"/>
          </w:divBdr>
          <w:divsChild>
            <w:div w:id="129055248">
              <w:marLeft w:val="0"/>
              <w:marRight w:val="0"/>
              <w:marTop w:val="0"/>
              <w:marBottom w:val="0"/>
              <w:divBdr>
                <w:top w:val="none" w:sz="0" w:space="0" w:color="auto"/>
                <w:left w:val="none" w:sz="0" w:space="0" w:color="auto"/>
                <w:bottom w:val="none" w:sz="0" w:space="0" w:color="auto"/>
                <w:right w:val="none" w:sz="0" w:space="0" w:color="auto"/>
              </w:divBdr>
            </w:div>
            <w:div w:id="509222514">
              <w:marLeft w:val="0"/>
              <w:marRight w:val="0"/>
              <w:marTop w:val="0"/>
              <w:marBottom w:val="0"/>
              <w:divBdr>
                <w:top w:val="none" w:sz="0" w:space="0" w:color="auto"/>
                <w:left w:val="none" w:sz="0" w:space="0" w:color="auto"/>
                <w:bottom w:val="none" w:sz="0" w:space="0" w:color="auto"/>
                <w:right w:val="none" w:sz="0" w:space="0" w:color="auto"/>
              </w:divBdr>
            </w:div>
          </w:divsChild>
        </w:div>
        <w:div w:id="841090783">
          <w:marLeft w:val="0"/>
          <w:marRight w:val="0"/>
          <w:marTop w:val="180"/>
          <w:marBottom w:val="180"/>
          <w:divBdr>
            <w:top w:val="none" w:sz="0" w:space="0" w:color="auto"/>
            <w:left w:val="single" w:sz="18" w:space="12" w:color="D08A3E"/>
            <w:bottom w:val="none" w:sz="0" w:space="0" w:color="auto"/>
            <w:right w:val="none" w:sz="0" w:space="0" w:color="auto"/>
          </w:divBdr>
          <w:divsChild>
            <w:div w:id="1072771142">
              <w:marLeft w:val="0"/>
              <w:marRight w:val="0"/>
              <w:marTop w:val="0"/>
              <w:marBottom w:val="0"/>
              <w:divBdr>
                <w:top w:val="none" w:sz="0" w:space="0" w:color="auto"/>
                <w:left w:val="none" w:sz="0" w:space="0" w:color="auto"/>
                <w:bottom w:val="none" w:sz="0" w:space="0" w:color="auto"/>
                <w:right w:val="none" w:sz="0" w:space="0" w:color="auto"/>
              </w:divBdr>
            </w:div>
            <w:div w:id="1921871481">
              <w:marLeft w:val="0"/>
              <w:marRight w:val="0"/>
              <w:marTop w:val="0"/>
              <w:marBottom w:val="0"/>
              <w:divBdr>
                <w:top w:val="none" w:sz="0" w:space="0" w:color="auto"/>
                <w:left w:val="none" w:sz="0" w:space="0" w:color="auto"/>
                <w:bottom w:val="none" w:sz="0" w:space="0" w:color="auto"/>
                <w:right w:val="none" w:sz="0" w:space="0" w:color="auto"/>
              </w:divBdr>
            </w:div>
          </w:divsChild>
        </w:div>
        <w:div w:id="2135437306">
          <w:marLeft w:val="0"/>
          <w:marRight w:val="0"/>
          <w:marTop w:val="180"/>
          <w:marBottom w:val="180"/>
          <w:divBdr>
            <w:top w:val="none" w:sz="0" w:space="0" w:color="auto"/>
            <w:left w:val="single" w:sz="18" w:space="12" w:color="D08A3E"/>
            <w:bottom w:val="none" w:sz="0" w:space="0" w:color="auto"/>
            <w:right w:val="none" w:sz="0" w:space="0" w:color="auto"/>
          </w:divBdr>
          <w:divsChild>
            <w:div w:id="790051358">
              <w:marLeft w:val="0"/>
              <w:marRight w:val="0"/>
              <w:marTop w:val="0"/>
              <w:marBottom w:val="0"/>
              <w:divBdr>
                <w:top w:val="none" w:sz="0" w:space="0" w:color="auto"/>
                <w:left w:val="none" w:sz="0" w:space="0" w:color="auto"/>
                <w:bottom w:val="none" w:sz="0" w:space="0" w:color="auto"/>
                <w:right w:val="none" w:sz="0" w:space="0" w:color="auto"/>
              </w:divBdr>
            </w:div>
            <w:div w:id="913055135">
              <w:marLeft w:val="0"/>
              <w:marRight w:val="0"/>
              <w:marTop w:val="0"/>
              <w:marBottom w:val="0"/>
              <w:divBdr>
                <w:top w:val="none" w:sz="0" w:space="0" w:color="auto"/>
                <w:left w:val="none" w:sz="0" w:space="0" w:color="auto"/>
                <w:bottom w:val="none" w:sz="0" w:space="0" w:color="auto"/>
                <w:right w:val="none" w:sz="0" w:space="0" w:color="auto"/>
              </w:divBdr>
            </w:div>
          </w:divsChild>
        </w:div>
        <w:div w:id="691033324">
          <w:marLeft w:val="0"/>
          <w:marRight w:val="0"/>
          <w:marTop w:val="180"/>
          <w:marBottom w:val="180"/>
          <w:divBdr>
            <w:top w:val="none" w:sz="0" w:space="0" w:color="auto"/>
            <w:left w:val="single" w:sz="18" w:space="12" w:color="D08A3E"/>
            <w:bottom w:val="none" w:sz="0" w:space="0" w:color="auto"/>
            <w:right w:val="none" w:sz="0" w:space="0" w:color="auto"/>
          </w:divBdr>
          <w:divsChild>
            <w:div w:id="519201422">
              <w:marLeft w:val="0"/>
              <w:marRight w:val="0"/>
              <w:marTop w:val="0"/>
              <w:marBottom w:val="0"/>
              <w:divBdr>
                <w:top w:val="none" w:sz="0" w:space="0" w:color="auto"/>
                <w:left w:val="none" w:sz="0" w:space="0" w:color="auto"/>
                <w:bottom w:val="none" w:sz="0" w:space="0" w:color="auto"/>
                <w:right w:val="none" w:sz="0" w:space="0" w:color="auto"/>
              </w:divBdr>
            </w:div>
            <w:div w:id="179398514">
              <w:marLeft w:val="0"/>
              <w:marRight w:val="0"/>
              <w:marTop w:val="0"/>
              <w:marBottom w:val="0"/>
              <w:divBdr>
                <w:top w:val="none" w:sz="0" w:space="0" w:color="auto"/>
                <w:left w:val="none" w:sz="0" w:space="0" w:color="auto"/>
                <w:bottom w:val="none" w:sz="0" w:space="0" w:color="auto"/>
                <w:right w:val="none" w:sz="0" w:space="0" w:color="auto"/>
              </w:divBdr>
            </w:div>
          </w:divsChild>
        </w:div>
        <w:div w:id="1995137102">
          <w:marLeft w:val="0"/>
          <w:marRight w:val="0"/>
          <w:marTop w:val="0"/>
          <w:marBottom w:val="330"/>
          <w:divBdr>
            <w:top w:val="none" w:sz="0" w:space="0" w:color="auto"/>
            <w:left w:val="none" w:sz="0" w:space="0" w:color="auto"/>
            <w:bottom w:val="none" w:sz="0" w:space="0" w:color="auto"/>
            <w:right w:val="none" w:sz="0" w:space="0" w:color="auto"/>
          </w:divBdr>
        </w:div>
        <w:div w:id="1639456143">
          <w:marLeft w:val="0"/>
          <w:marRight w:val="0"/>
          <w:marTop w:val="0"/>
          <w:marBottom w:val="0"/>
          <w:divBdr>
            <w:top w:val="none" w:sz="0" w:space="0" w:color="auto"/>
            <w:left w:val="none" w:sz="0" w:space="0" w:color="auto"/>
            <w:bottom w:val="none" w:sz="0" w:space="0" w:color="auto"/>
            <w:right w:val="none" w:sz="0" w:space="0" w:color="auto"/>
          </w:divBdr>
        </w:div>
        <w:div w:id="803350338">
          <w:marLeft w:val="0"/>
          <w:marRight w:val="0"/>
          <w:marTop w:val="0"/>
          <w:marBottom w:val="0"/>
          <w:divBdr>
            <w:top w:val="none" w:sz="0" w:space="0" w:color="auto"/>
            <w:left w:val="single" w:sz="18" w:space="15" w:color="6FA79A"/>
            <w:bottom w:val="none" w:sz="0" w:space="0" w:color="auto"/>
            <w:right w:val="none" w:sz="0" w:space="0" w:color="auto"/>
          </w:divBdr>
        </w:div>
        <w:div w:id="430904929">
          <w:marLeft w:val="0"/>
          <w:marRight w:val="0"/>
          <w:marTop w:val="0"/>
          <w:marBottom w:val="330"/>
          <w:divBdr>
            <w:top w:val="none" w:sz="0" w:space="0" w:color="auto"/>
            <w:left w:val="none" w:sz="0" w:space="0" w:color="auto"/>
            <w:bottom w:val="none" w:sz="0" w:space="0" w:color="auto"/>
            <w:right w:val="none" w:sz="0" w:space="0" w:color="auto"/>
          </w:divBdr>
        </w:div>
        <w:div w:id="1991010308">
          <w:marLeft w:val="0"/>
          <w:marRight w:val="0"/>
          <w:marTop w:val="210"/>
          <w:marBottom w:val="210"/>
          <w:divBdr>
            <w:top w:val="single" w:sz="6" w:space="14" w:color="2A373A"/>
            <w:left w:val="single" w:sz="6" w:space="15" w:color="2A373A"/>
            <w:bottom w:val="single" w:sz="6" w:space="14" w:color="2A373A"/>
            <w:right w:val="single" w:sz="6" w:space="15" w:color="2A373A"/>
          </w:divBdr>
          <w:divsChild>
            <w:div w:id="117571754">
              <w:marLeft w:val="0"/>
              <w:marRight w:val="0"/>
              <w:marTop w:val="0"/>
              <w:marBottom w:val="0"/>
              <w:divBdr>
                <w:top w:val="none" w:sz="0" w:space="0" w:color="auto"/>
                <w:left w:val="none" w:sz="0" w:space="0" w:color="auto"/>
                <w:bottom w:val="none" w:sz="0" w:space="0" w:color="auto"/>
                <w:right w:val="none" w:sz="0" w:space="0" w:color="auto"/>
              </w:divBdr>
            </w:div>
          </w:divsChild>
        </w:div>
        <w:div w:id="574171628">
          <w:marLeft w:val="0"/>
          <w:marRight w:val="0"/>
          <w:marTop w:val="210"/>
          <w:marBottom w:val="210"/>
          <w:divBdr>
            <w:top w:val="single" w:sz="6" w:space="14" w:color="2A373A"/>
            <w:left w:val="single" w:sz="6" w:space="15" w:color="2A373A"/>
            <w:bottom w:val="single" w:sz="6" w:space="14" w:color="2A373A"/>
            <w:right w:val="single" w:sz="6" w:space="15" w:color="2A373A"/>
          </w:divBdr>
          <w:divsChild>
            <w:div w:id="244078175">
              <w:marLeft w:val="0"/>
              <w:marRight w:val="0"/>
              <w:marTop w:val="0"/>
              <w:marBottom w:val="0"/>
              <w:divBdr>
                <w:top w:val="none" w:sz="0" w:space="0" w:color="auto"/>
                <w:left w:val="none" w:sz="0" w:space="0" w:color="auto"/>
                <w:bottom w:val="none" w:sz="0" w:space="0" w:color="auto"/>
                <w:right w:val="none" w:sz="0" w:space="0" w:color="auto"/>
              </w:divBdr>
            </w:div>
          </w:divsChild>
        </w:div>
        <w:div w:id="1368721821">
          <w:marLeft w:val="0"/>
          <w:marRight w:val="0"/>
          <w:marTop w:val="210"/>
          <w:marBottom w:val="210"/>
          <w:divBdr>
            <w:top w:val="single" w:sz="6" w:space="14" w:color="2A373A"/>
            <w:left w:val="single" w:sz="6" w:space="15" w:color="2A373A"/>
            <w:bottom w:val="single" w:sz="6" w:space="14" w:color="2A373A"/>
            <w:right w:val="single" w:sz="6" w:space="15" w:color="2A373A"/>
          </w:divBdr>
          <w:divsChild>
            <w:div w:id="1261335979">
              <w:marLeft w:val="0"/>
              <w:marRight w:val="0"/>
              <w:marTop w:val="0"/>
              <w:marBottom w:val="0"/>
              <w:divBdr>
                <w:top w:val="none" w:sz="0" w:space="0" w:color="auto"/>
                <w:left w:val="none" w:sz="0" w:space="0" w:color="auto"/>
                <w:bottom w:val="none" w:sz="0" w:space="0" w:color="auto"/>
                <w:right w:val="none" w:sz="0" w:space="0" w:color="auto"/>
              </w:divBdr>
            </w:div>
          </w:divsChild>
        </w:div>
        <w:div w:id="1948343302">
          <w:marLeft w:val="0"/>
          <w:marRight w:val="0"/>
          <w:marTop w:val="210"/>
          <w:marBottom w:val="210"/>
          <w:divBdr>
            <w:top w:val="single" w:sz="6" w:space="14" w:color="2A373A"/>
            <w:left w:val="single" w:sz="6" w:space="15" w:color="2A373A"/>
            <w:bottom w:val="single" w:sz="6" w:space="14" w:color="2A373A"/>
            <w:right w:val="single" w:sz="6" w:space="15" w:color="2A373A"/>
          </w:divBdr>
          <w:divsChild>
            <w:div w:id="1496990971">
              <w:marLeft w:val="0"/>
              <w:marRight w:val="0"/>
              <w:marTop w:val="0"/>
              <w:marBottom w:val="0"/>
              <w:divBdr>
                <w:top w:val="none" w:sz="0" w:space="0" w:color="auto"/>
                <w:left w:val="none" w:sz="0" w:space="0" w:color="auto"/>
                <w:bottom w:val="none" w:sz="0" w:space="0" w:color="auto"/>
                <w:right w:val="none" w:sz="0" w:space="0" w:color="auto"/>
              </w:divBdr>
            </w:div>
          </w:divsChild>
        </w:div>
        <w:div w:id="1252281340">
          <w:marLeft w:val="0"/>
          <w:marRight w:val="0"/>
          <w:marTop w:val="210"/>
          <w:marBottom w:val="210"/>
          <w:divBdr>
            <w:top w:val="single" w:sz="6" w:space="14" w:color="2A373A"/>
            <w:left w:val="single" w:sz="6" w:space="15" w:color="2A373A"/>
            <w:bottom w:val="single" w:sz="6" w:space="14" w:color="2A373A"/>
            <w:right w:val="single" w:sz="6" w:space="15" w:color="2A373A"/>
          </w:divBdr>
          <w:divsChild>
            <w:div w:id="50269413">
              <w:marLeft w:val="0"/>
              <w:marRight w:val="0"/>
              <w:marTop w:val="0"/>
              <w:marBottom w:val="0"/>
              <w:divBdr>
                <w:top w:val="none" w:sz="0" w:space="0" w:color="auto"/>
                <w:left w:val="none" w:sz="0" w:space="0" w:color="auto"/>
                <w:bottom w:val="none" w:sz="0" w:space="0" w:color="auto"/>
                <w:right w:val="none" w:sz="0" w:space="0" w:color="auto"/>
              </w:divBdr>
            </w:div>
          </w:divsChild>
        </w:div>
        <w:div w:id="1443723895">
          <w:marLeft w:val="0"/>
          <w:marRight w:val="0"/>
          <w:marTop w:val="210"/>
          <w:marBottom w:val="210"/>
          <w:divBdr>
            <w:top w:val="single" w:sz="6" w:space="14" w:color="2A373A"/>
            <w:left w:val="single" w:sz="6" w:space="15" w:color="2A373A"/>
            <w:bottom w:val="single" w:sz="6" w:space="14" w:color="2A373A"/>
            <w:right w:val="single" w:sz="6" w:space="15" w:color="2A373A"/>
          </w:divBdr>
          <w:divsChild>
            <w:div w:id="349262716">
              <w:marLeft w:val="0"/>
              <w:marRight w:val="0"/>
              <w:marTop w:val="0"/>
              <w:marBottom w:val="0"/>
              <w:divBdr>
                <w:top w:val="none" w:sz="0" w:space="0" w:color="auto"/>
                <w:left w:val="none" w:sz="0" w:space="0" w:color="auto"/>
                <w:bottom w:val="none" w:sz="0" w:space="0" w:color="auto"/>
                <w:right w:val="none" w:sz="0" w:space="0" w:color="auto"/>
              </w:divBdr>
            </w:div>
          </w:divsChild>
        </w:div>
        <w:div w:id="1564949175">
          <w:marLeft w:val="0"/>
          <w:marRight w:val="0"/>
          <w:marTop w:val="0"/>
          <w:marBottom w:val="330"/>
          <w:divBdr>
            <w:top w:val="none" w:sz="0" w:space="0" w:color="auto"/>
            <w:left w:val="none" w:sz="0" w:space="0" w:color="auto"/>
            <w:bottom w:val="none" w:sz="0" w:space="0" w:color="auto"/>
            <w:right w:val="none" w:sz="0" w:space="0" w:color="auto"/>
          </w:divBdr>
        </w:div>
        <w:div w:id="650642292">
          <w:marLeft w:val="0"/>
          <w:marRight w:val="0"/>
          <w:marTop w:val="180"/>
          <w:marBottom w:val="180"/>
          <w:divBdr>
            <w:top w:val="single" w:sz="6" w:space="12" w:color="2A373A"/>
            <w:left w:val="single" w:sz="6" w:space="15" w:color="2A373A"/>
            <w:bottom w:val="single" w:sz="6" w:space="12" w:color="2A373A"/>
            <w:right w:val="single" w:sz="6" w:space="15" w:color="2A373A"/>
          </w:divBdr>
        </w:div>
        <w:div w:id="109324338">
          <w:marLeft w:val="0"/>
          <w:marRight w:val="0"/>
          <w:marTop w:val="180"/>
          <w:marBottom w:val="180"/>
          <w:divBdr>
            <w:top w:val="single" w:sz="6" w:space="12" w:color="2A373A"/>
            <w:left w:val="single" w:sz="6" w:space="15" w:color="2A373A"/>
            <w:bottom w:val="single" w:sz="6" w:space="12" w:color="2A373A"/>
            <w:right w:val="single" w:sz="6" w:space="15" w:color="2A373A"/>
          </w:divBdr>
        </w:div>
        <w:div w:id="656348673">
          <w:marLeft w:val="0"/>
          <w:marRight w:val="0"/>
          <w:marTop w:val="180"/>
          <w:marBottom w:val="180"/>
          <w:divBdr>
            <w:top w:val="single" w:sz="6" w:space="12" w:color="2A373A"/>
            <w:left w:val="single" w:sz="6" w:space="15" w:color="2A373A"/>
            <w:bottom w:val="single" w:sz="6" w:space="12" w:color="2A373A"/>
            <w:right w:val="single" w:sz="6" w:space="15" w:color="2A373A"/>
          </w:divBdr>
        </w:div>
        <w:div w:id="814371154">
          <w:marLeft w:val="0"/>
          <w:marRight w:val="0"/>
          <w:marTop w:val="180"/>
          <w:marBottom w:val="180"/>
          <w:divBdr>
            <w:top w:val="single" w:sz="6" w:space="12" w:color="2A373A"/>
            <w:left w:val="single" w:sz="6" w:space="15" w:color="2A373A"/>
            <w:bottom w:val="single" w:sz="6" w:space="12" w:color="2A373A"/>
            <w:right w:val="single" w:sz="6" w:space="15" w:color="2A373A"/>
          </w:divBdr>
        </w:div>
        <w:div w:id="1689675909">
          <w:marLeft w:val="0"/>
          <w:marRight w:val="0"/>
          <w:marTop w:val="180"/>
          <w:marBottom w:val="180"/>
          <w:divBdr>
            <w:top w:val="single" w:sz="6" w:space="12" w:color="2A373A"/>
            <w:left w:val="single" w:sz="6" w:space="15" w:color="2A373A"/>
            <w:bottom w:val="single" w:sz="6" w:space="12" w:color="2A373A"/>
            <w:right w:val="single" w:sz="6" w:space="15" w:color="2A373A"/>
          </w:divBdr>
        </w:div>
        <w:div w:id="1457865809">
          <w:marLeft w:val="0"/>
          <w:marRight w:val="0"/>
          <w:marTop w:val="180"/>
          <w:marBottom w:val="180"/>
          <w:divBdr>
            <w:top w:val="single" w:sz="6" w:space="12" w:color="2A373A"/>
            <w:left w:val="single" w:sz="6" w:space="15" w:color="2A373A"/>
            <w:bottom w:val="single" w:sz="6" w:space="12" w:color="2A373A"/>
            <w:right w:val="single" w:sz="6" w:space="15" w:color="2A373A"/>
          </w:divBdr>
        </w:div>
        <w:div w:id="1940720122">
          <w:marLeft w:val="0"/>
          <w:marRight w:val="0"/>
          <w:marTop w:val="180"/>
          <w:marBottom w:val="180"/>
          <w:divBdr>
            <w:top w:val="single" w:sz="6" w:space="12" w:color="2A373A"/>
            <w:left w:val="single" w:sz="6" w:space="15" w:color="2A373A"/>
            <w:bottom w:val="single" w:sz="6" w:space="12" w:color="2A373A"/>
            <w:right w:val="single" w:sz="6" w:space="15" w:color="2A373A"/>
          </w:divBdr>
        </w:div>
        <w:div w:id="1263952109">
          <w:marLeft w:val="0"/>
          <w:marRight w:val="0"/>
          <w:marTop w:val="180"/>
          <w:marBottom w:val="180"/>
          <w:divBdr>
            <w:top w:val="single" w:sz="6" w:space="12" w:color="2A373A"/>
            <w:left w:val="single" w:sz="6" w:space="15" w:color="2A373A"/>
            <w:bottom w:val="single" w:sz="6" w:space="12" w:color="2A373A"/>
            <w:right w:val="single" w:sz="6" w:space="15" w:color="2A373A"/>
          </w:divBdr>
        </w:div>
        <w:div w:id="65422893">
          <w:marLeft w:val="0"/>
          <w:marRight w:val="0"/>
          <w:marTop w:val="180"/>
          <w:marBottom w:val="180"/>
          <w:divBdr>
            <w:top w:val="single" w:sz="6" w:space="12" w:color="2A373A"/>
            <w:left w:val="single" w:sz="6" w:space="15" w:color="2A373A"/>
            <w:bottom w:val="single" w:sz="6" w:space="12" w:color="2A373A"/>
            <w:right w:val="single" w:sz="6" w:space="15" w:color="2A373A"/>
          </w:divBdr>
        </w:div>
        <w:div w:id="1580752594">
          <w:marLeft w:val="0"/>
          <w:marRight w:val="0"/>
          <w:marTop w:val="180"/>
          <w:marBottom w:val="180"/>
          <w:divBdr>
            <w:top w:val="none" w:sz="0" w:space="0" w:color="auto"/>
            <w:left w:val="single" w:sz="18" w:space="12" w:color="D08A3E"/>
            <w:bottom w:val="none" w:sz="0" w:space="0" w:color="auto"/>
            <w:right w:val="none" w:sz="0" w:space="0" w:color="auto"/>
          </w:divBdr>
          <w:divsChild>
            <w:div w:id="1530607563">
              <w:marLeft w:val="0"/>
              <w:marRight w:val="0"/>
              <w:marTop w:val="0"/>
              <w:marBottom w:val="0"/>
              <w:divBdr>
                <w:top w:val="none" w:sz="0" w:space="0" w:color="auto"/>
                <w:left w:val="none" w:sz="0" w:space="0" w:color="auto"/>
                <w:bottom w:val="none" w:sz="0" w:space="0" w:color="auto"/>
                <w:right w:val="none" w:sz="0" w:space="0" w:color="auto"/>
              </w:divBdr>
            </w:div>
            <w:div w:id="5670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1040">
      <w:bodyDiv w:val="1"/>
      <w:marLeft w:val="0"/>
      <w:marRight w:val="0"/>
      <w:marTop w:val="0"/>
      <w:marBottom w:val="0"/>
      <w:divBdr>
        <w:top w:val="none" w:sz="0" w:space="0" w:color="auto"/>
        <w:left w:val="none" w:sz="0" w:space="0" w:color="auto"/>
        <w:bottom w:val="none" w:sz="0" w:space="0" w:color="auto"/>
        <w:right w:val="none" w:sz="0" w:space="0" w:color="auto"/>
      </w:divBdr>
      <w:divsChild>
        <w:div w:id="1759936233">
          <w:marLeft w:val="0"/>
          <w:marRight w:val="0"/>
          <w:marTop w:val="0"/>
          <w:marBottom w:val="0"/>
          <w:divBdr>
            <w:top w:val="none" w:sz="0" w:space="0" w:color="auto"/>
            <w:left w:val="none" w:sz="0" w:space="0" w:color="auto"/>
            <w:bottom w:val="single" w:sz="12" w:space="21" w:color="E7ECEA"/>
            <w:right w:val="none" w:sz="0" w:space="0" w:color="auto"/>
          </w:divBdr>
          <w:divsChild>
            <w:div w:id="1711874330">
              <w:marLeft w:val="0"/>
              <w:marRight w:val="0"/>
              <w:marTop w:val="0"/>
              <w:marBottom w:val="0"/>
              <w:divBdr>
                <w:top w:val="none" w:sz="0" w:space="0" w:color="auto"/>
                <w:left w:val="none" w:sz="0" w:space="0" w:color="auto"/>
                <w:bottom w:val="none" w:sz="0" w:space="0" w:color="auto"/>
                <w:right w:val="none" w:sz="0" w:space="0" w:color="auto"/>
              </w:divBdr>
              <w:divsChild>
                <w:div w:id="1566910682">
                  <w:marLeft w:val="0"/>
                  <w:marRight w:val="0"/>
                  <w:marTop w:val="0"/>
                  <w:marBottom w:val="0"/>
                  <w:divBdr>
                    <w:top w:val="none" w:sz="0" w:space="0" w:color="auto"/>
                    <w:left w:val="none" w:sz="0" w:space="0" w:color="auto"/>
                    <w:bottom w:val="none" w:sz="0" w:space="0" w:color="auto"/>
                    <w:right w:val="none" w:sz="0" w:space="0" w:color="auto"/>
                  </w:divBdr>
                </w:div>
                <w:div w:id="1399980583">
                  <w:marLeft w:val="0"/>
                  <w:marRight w:val="0"/>
                  <w:marTop w:val="0"/>
                  <w:marBottom w:val="0"/>
                  <w:divBdr>
                    <w:top w:val="none" w:sz="0" w:space="0" w:color="auto"/>
                    <w:left w:val="none" w:sz="0" w:space="0" w:color="auto"/>
                    <w:bottom w:val="none" w:sz="0" w:space="0" w:color="auto"/>
                    <w:right w:val="none" w:sz="0" w:space="0" w:color="auto"/>
                  </w:divBdr>
                </w:div>
                <w:div w:id="528640433">
                  <w:marLeft w:val="0"/>
                  <w:marRight w:val="0"/>
                  <w:marTop w:val="0"/>
                  <w:marBottom w:val="0"/>
                  <w:divBdr>
                    <w:top w:val="none" w:sz="0" w:space="0" w:color="auto"/>
                    <w:left w:val="none" w:sz="0" w:space="0" w:color="auto"/>
                    <w:bottom w:val="none" w:sz="0" w:space="0" w:color="auto"/>
                    <w:right w:val="none" w:sz="0" w:space="0" w:color="auto"/>
                  </w:divBdr>
                </w:div>
                <w:div w:id="125613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12658">
          <w:marLeft w:val="0"/>
          <w:marRight w:val="0"/>
          <w:marTop w:val="0"/>
          <w:marBottom w:val="330"/>
          <w:divBdr>
            <w:top w:val="none" w:sz="0" w:space="0" w:color="auto"/>
            <w:left w:val="none" w:sz="0" w:space="0" w:color="auto"/>
            <w:bottom w:val="none" w:sz="0" w:space="0" w:color="auto"/>
            <w:right w:val="none" w:sz="0" w:space="0" w:color="auto"/>
          </w:divBdr>
        </w:div>
        <w:div w:id="981155692">
          <w:marLeft w:val="0"/>
          <w:marRight w:val="0"/>
          <w:marTop w:val="0"/>
          <w:marBottom w:val="0"/>
          <w:divBdr>
            <w:top w:val="none" w:sz="0" w:space="0" w:color="auto"/>
            <w:left w:val="none" w:sz="0" w:space="0" w:color="auto"/>
            <w:bottom w:val="none" w:sz="0" w:space="0" w:color="auto"/>
            <w:right w:val="none" w:sz="0" w:space="0" w:color="auto"/>
          </w:divBdr>
        </w:div>
        <w:div w:id="689993197">
          <w:marLeft w:val="0"/>
          <w:marRight w:val="0"/>
          <w:marTop w:val="0"/>
          <w:marBottom w:val="0"/>
          <w:divBdr>
            <w:top w:val="none" w:sz="0" w:space="0" w:color="auto"/>
            <w:left w:val="none" w:sz="0" w:space="0" w:color="auto"/>
            <w:bottom w:val="none" w:sz="0" w:space="0" w:color="auto"/>
            <w:right w:val="none" w:sz="0" w:space="0" w:color="auto"/>
          </w:divBdr>
        </w:div>
        <w:div w:id="956258423">
          <w:marLeft w:val="0"/>
          <w:marRight w:val="0"/>
          <w:marTop w:val="0"/>
          <w:marBottom w:val="330"/>
          <w:divBdr>
            <w:top w:val="none" w:sz="0" w:space="0" w:color="auto"/>
            <w:left w:val="none" w:sz="0" w:space="0" w:color="auto"/>
            <w:bottom w:val="none" w:sz="0" w:space="0" w:color="auto"/>
            <w:right w:val="none" w:sz="0" w:space="0" w:color="auto"/>
          </w:divBdr>
        </w:div>
        <w:div w:id="2000187970">
          <w:marLeft w:val="0"/>
          <w:marRight w:val="0"/>
          <w:marTop w:val="0"/>
          <w:marBottom w:val="330"/>
          <w:divBdr>
            <w:top w:val="none" w:sz="0" w:space="0" w:color="auto"/>
            <w:left w:val="none" w:sz="0" w:space="0" w:color="auto"/>
            <w:bottom w:val="none" w:sz="0" w:space="0" w:color="auto"/>
            <w:right w:val="none" w:sz="0" w:space="0" w:color="auto"/>
          </w:divBdr>
        </w:div>
        <w:div w:id="1903713263">
          <w:marLeft w:val="0"/>
          <w:marRight w:val="0"/>
          <w:marTop w:val="0"/>
          <w:marBottom w:val="0"/>
          <w:divBdr>
            <w:top w:val="none" w:sz="0" w:space="0" w:color="auto"/>
            <w:left w:val="none" w:sz="0" w:space="0" w:color="auto"/>
            <w:bottom w:val="none" w:sz="0" w:space="0" w:color="auto"/>
            <w:right w:val="none" w:sz="0" w:space="0" w:color="auto"/>
          </w:divBdr>
        </w:div>
        <w:div w:id="282421982">
          <w:marLeft w:val="0"/>
          <w:marRight w:val="0"/>
          <w:marTop w:val="0"/>
          <w:marBottom w:val="330"/>
          <w:divBdr>
            <w:top w:val="none" w:sz="0" w:space="0" w:color="auto"/>
            <w:left w:val="none" w:sz="0" w:space="0" w:color="auto"/>
            <w:bottom w:val="none" w:sz="0" w:space="0" w:color="auto"/>
            <w:right w:val="none" w:sz="0" w:space="0" w:color="auto"/>
          </w:divBdr>
        </w:div>
        <w:div w:id="940527681">
          <w:marLeft w:val="0"/>
          <w:marRight w:val="0"/>
          <w:marTop w:val="0"/>
          <w:marBottom w:val="0"/>
          <w:divBdr>
            <w:top w:val="none" w:sz="0" w:space="0" w:color="auto"/>
            <w:left w:val="none" w:sz="0" w:space="0" w:color="auto"/>
            <w:bottom w:val="none" w:sz="0" w:space="0" w:color="auto"/>
            <w:right w:val="none" w:sz="0" w:space="0" w:color="auto"/>
          </w:divBdr>
        </w:div>
        <w:div w:id="1848790532">
          <w:marLeft w:val="0"/>
          <w:marRight w:val="0"/>
          <w:marTop w:val="0"/>
          <w:marBottom w:val="330"/>
          <w:divBdr>
            <w:top w:val="none" w:sz="0" w:space="0" w:color="auto"/>
            <w:left w:val="none" w:sz="0" w:space="0" w:color="auto"/>
            <w:bottom w:val="none" w:sz="0" w:space="0" w:color="auto"/>
            <w:right w:val="none" w:sz="0" w:space="0" w:color="auto"/>
          </w:divBdr>
        </w:div>
        <w:div w:id="1173186273">
          <w:marLeft w:val="0"/>
          <w:marRight w:val="0"/>
          <w:marTop w:val="180"/>
          <w:marBottom w:val="180"/>
          <w:divBdr>
            <w:top w:val="none" w:sz="0" w:space="0" w:color="auto"/>
            <w:left w:val="single" w:sz="18" w:space="12" w:color="C97070"/>
            <w:bottom w:val="none" w:sz="0" w:space="0" w:color="auto"/>
            <w:right w:val="none" w:sz="0" w:space="0" w:color="auto"/>
          </w:divBdr>
          <w:divsChild>
            <w:div w:id="563297322">
              <w:marLeft w:val="0"/>
              <w:marRight w:val="0"/>
              <w:marTop w:val="0"/>
              <w:marBottom w:val="0"/>
              <w:divBdr>
                <w:top w:val="none" w:sz="0" w:space="0" w:color="auto"/>
                <w:left w:val="none" w:sz="0" w:space="0" w:color="auto"/>
                <w:bottom w:val="none" w:sz="0" w:space="0" w:color="auto"/>
                <w:right w:val="none" w:sz="0" w:space="0" w:color="auto"/>
              </w:divBdr>
            </w:div>
            <w:div w:id="903754841">
              <w:marLeft w:val="0"/>
              <w:marRight w:val="0"/>
              <w:marTop w:val="0"/>
              <w:marBottom w:val="0"/>
              <w:divBdr>
                <w:top w:val="none" w:sz="0" w:space="0" w:color="auto"/>
                <w:left w:val="none" w:sz="0" w:space="0" w:color="auto"/>
                <w:bottom w:val="none" w:sz="0" w:space="0" w:color="auto"/>
                <w:right w:val="none" w:sz="0" w:space="0" w:color="auto"/>
              </w:divBdr>
            </w:div>
          </w:divsChild>
        </w:div>
        <w:div w:id="1723749217">
          <w:marLeft w:val="0"/>
          <w:marRight w:val="0"/>
          <w:marTop w:val="180"/>
          <w:marBottom w:val="180"/>
          <w:divBdr>
            <w:top w:val="none" w:sz="0" w:space="0" w:color="auto"/>
            <w:left w:val="single" w:sz="18" w:space="12" w:color="C97070"/>
            <w:bottom w:val="none" w:sz="0" w:space="0" w:color="auto"/>
            <w:right w:val="none" w:sz="0" w:space="0" w:color="auto"/>
          </w:divBdr>
          <w:divsChild>
            <w:div w:id="1568420182">
              <w:marLeft w:val="0"/>
              <w:marRight w:val="0"/>
              <w:marTop w:val="0"/>
              <w:marBottom w:val="0"/>
              <w:divBdr>
                <w:top w:val="none" w:sz="0" w:space="0" w:color="auto"/>
                <w:left w:val="none" w:sz="0" w:space="0" w:color="auto"/>
                <w:bottom w:val="none" w:sz="0" w:space="0" w:color="auto"/>
                <w:right w:val="none" w:sz="0" w:space="0" w:color="auto"/>
              </w:divBdr>
            </w:div>
            <w:div w:id="1279097227">
              <w:marLeft w:val="0"/>
              <w:marRight w:val="0"/>
              <w:marTop w:val="0"/>
              <w:marBottom w:val="0"/>
              <w:divBdr>
                <w:top w:val="none" w:sz="0" w:space="0" w:color="auto"/>
                <w:left w:val="none" w:sz="0" w:space="0" w:color="auto"/>
                <w:bottom w:val="none" w:sz="0" w:space="0" w:color="auto"/>
                <w:right w:val="none" w:sz="0" w:space="0" w:color="auto"/>
              </w:divBdr>
            </w:div>
          </w:divsChild>
        </w:div>
        <w:div w:id="785394514">
          <w:marLeft w:val="0"/>
          <w:marRight w:val="0"/>
          <w:marTop w:val="180"/>
          <w:marBottom w:val="180"/>
          <w:divBdr>
            <w:top w:val="none" w:sz="0" w:space="0" w:color="auto"/>
            <w:left w:val="single" w:sz="18" w:space="12" w:color="C97070"/>
            <w:bottom w:val="none" w:sz="0" w:space="0" w:color="auto"/>
            <w:right w:val="none" w:sz="0" w:space="0" w:color="auto"/>
          </w:divBdr>
          <w:divsChild>
            <w:div w:id="1672030389">
              <w:marLeft w:val="0"/>
              <w:marRight w:val="0"/>
              <w:marTop w:val="0"/>
              <w:marBottom w:val="0"/>
              <w:divBdr>
                <w:top w:val="none" w:sz="0" w:space="0" w:color="auto"/>
                <w:left w:val="none" w:sz="0" w:space="0" w:color="auto"/>
                <w:bottom w:val="none" w:sz="0" w:space="0" w:color="auto"/>
                <w:right w:val="none" w:sz="0" w:space="0" w:color="auto"/>
              </w:divBdr>
            </w:div>
            <w:div w:id="784158206">
              <w:marLeft w:val="0"/>
              <w:marRight w:val="0"/>
              <w:marTop w:val="0"/>
              <w:marBottom w:val="0"/>
              <w:divBdr>
                <w:top w:val="none" w:sz="0" w:space="0" w:color="auto"/>
                <w:left w:val="none" w:sz="0" w:space="0" w:color="auto"/>
                <w:bottom w:val="none" w:sz="0" w:space="0" w:color="auto"/>
                <w:right w:val="none" w:sz="0" w:space="0" w:color="auto"/>
              </w:divBdr>
            </w:div>
          </w:divsChild>
        </w:div>
        <w:div w:id="498229426">
          <w:marLeft w:val="0"/>
          <w:marRight w:val="0"/>
          <w:marTop w:val="180"/>
          <w:marBottom w:val="180"/>
          <w:divBdr>
            <w:top w:val="none" w:sz="0" w:space="0" w:color="auto"/>
            <w:left w:val="single" w:sz="18" w:space="12" w:color="D08A3E"/>
            <w:bottom w:val="none" w:sz="0" w:space="0" w:color="auto"/>
            <w:right w:val="none" w:sz="0" w:space="0" w:color="auto"/>
          </w:divBdr>
          <w:divsChild>
            <w:div w:id="121733066">
              <w:marLeft w:val="0"/>
              <w:marRight w:val="0"/>
              <w:marTop w:val="0"/>
              <w:marBottom w:val="0"/>
              <w:divBdr>
                <w:top w:val="none" w:sz="0" w:space="0" w:color="auto"/>
                <w:left w:val="none" w:sz="0" w:space="0" w:color="auto"/>
                <w:bottom w:val="none" w:sz="0" w:space="0" w:color="auto"/>
                <w:right w:val="none" w:sz="0" w:space="0" w:color="auto"/>
              </w:divBdr>
            </w:div>
            <w:div w:id="348871357">
              <w:marLeft w:val="0"/>
              <w:marRight w:val="0"/>
              <w:marTop w:val="0"/>
              <w:marBottom w:val="0"/>
              <w:divBdr>
                <w:top w:val="none" w:sz="0" w:space="0" w:color="auto"/>
                <w:left w:val="none" w:sz="0" w:space="0" w:color="auto"/>
                <w:bottom w:val="none" w:sz="0" w:space="0" w:color="auto"/>
                <w:right w:val="none" w:sz="0" w:space="0" w:color="auto"/>
              </w:divBdr>
            </w:div>
          </w:divsChild>
        </w:div>
        <w:div w:id="455414118">
          <w:marLeft w:val="0"/>
          <w:marRight w:val="0"/>
          <w:marTop w:val="180"/>
          <w:marBottom w:val="180"/>
          <w:divBdr>
            <w:top w:val="none" w:sz="0" w:space="0" w:color="auto"/>
            <w:left w:val="single" w:sz="18" w:space="12" w:color="D08A3E"/>
            <w:bottom w:val="none" w:sz="0" w:space="0" w:color="auto"/>
            <w:right w:val="none" w:sz="0" w:space="0" w:color="auto"/>
          </w:divBdr>
          <w:divsChild>
            <w:div w:id="1073310285">
              <w:marLeft w:val="0"/>
              <w:marRight w:val="0"/>
              <w:marTop w:val="0"/>
              <w:marBottom w:val="0"/>
              <w:divBdr>
                <w:top w:val="none" w:sz="0" w:space="0" w:color="auto"/>
                <w:left w:val="none" w:sz="0" w:space="0" w:color="auto"/>
                <w:bottom w:val="none" w:sz="0" w:space="0" w:color="auto"/>
                <w:right w:val="none" w:sz="0" w:space="0" w:color="auto"/>
              </w:divBdr>
            </w:div>
            <w:div w:id="1173684321">
              <w:marLeft w:val="0"/>
              <w:marRight w:val="0"/>
              <w:marTop w:val="0"/>
              <w:marBottom w:val="0"/>
              <w:divBdr>
                <w:top w:val="none" w:sz="0" w:space="0" w:color="auto"/>
                <w:left w:val="none" w:sz="0" w:space="0" w:color="auto"/>
                <w:bottom w:val="none" w:sz="0" w:space="0" w:color="auto"/>
                <w:right w:val="none" w:sz="0" w:space="0" w:color="auto"/>
              </w:divBdr>
            </w:div>
          </w:divsChild>
        </w:div>
        <w:div w:id="636225216">
          <w:marLeft w:val="0"/>
          <w:marRight w:val="0"/>
          <w:marTop w:val="180"/>
          <w:marBottom w:val="180"/>
          <w:divBdr>
            <w:top w:val="none" w:sz="0" w:space="0" w:color="auto"/>
            <w:left w:val="single" w:sz="18" w:space="12" w:color="D08A3E"/>
            <w:bottom w:val="none" w:sz="0" w:space="0" w:color="auto"/>
            <w:right w:val="none" w:sz="0" w:space="0" w:color="auto"/>
          </w:divBdr>
          <w:divsChild>
            <w:div w:id="1975796658">
              <w:marLeft w:val="0"/>
              <w:marRight w:val="0"/>
              <w:marTop w:val="0"/>
              <w:marBottom w:val="0"/>
              <w:divBdr>
                <w:top w:val="none" w:sz="0" w:space="0" w:color="auto"/>
                <w:left w:val="none" w:sz="0" w:space="0" w:color="auto"/>
                <w:bottom w:val="none" w:sz="0" w:space="0" w:color="auto"/>
                <w:right w:val="none" w:sz="0" w:space="0" w:color="auto"/>
              </w:divBdr>
            </w:div>
            <w:div w:id="335038830">
              <w:marLeft w:val="0"/>
              <w:marRight w:val="0"/>
              <w:marTop w:val="0"/>
              <w:marBottom w:val="0"/>
              <w:divBdr>
                <w:top w:val="none" w:sz="0" w:space="0" w:color="auto"/>
                <w:left w:val="none" w:sz="0" w:space="0" w:color="auto"/>
                <w:bottom w:val="none" w:sz="0" w:space="0" w:color="auto"/>
                <w:right w:val="none" w:sz="0" w:space="0" w:color="auto"/>
              </w:divBdr>
            </w:div>
          </w:divsChild>
        </w:div>
        <w:div w:id="222298238">
          <w:marLeft w:val="0"/>
          <w:marRight w:val="0"/>
          <w:marTop w:val="0"/>
          <w:marBottom w:val="330"/>
          <w:divBdr>
            <w:top w:val="none" w:sz="0" w:space="0" w:color="auto"/>
            <w:left w:val="none" w:sz="0" w:space="0" w:color="auto"/>
            <w:bottom w:val="none" w:sz="0" w:space="0" w:color="auto"/>
            <w:right w:val="none" w:sz="0" w:space="0" w:color="auto"/>
          </w:divBdr>
        </w:div>
        <w:div w:id="1896089058">
          <w:marLeft w:val="0"/>
          <w:marRight w:val="0"/>
          <w:marTop w:val="0"/>
          <w:marBottom w:val="0"/>
          <w:divBdr>
            <w:top w:val="none" w:sz="0" w:space="0" w:color="auto"/>
            <w:left w:val="none" w:sz="0" w:space="0" w:color="auto"/>
            <w:bottom w:val="none" w:sz="0" w:space="0" w:color="auto"/>
            <w:right w:val="none" w:sz="0" w:space="0" w:color="auto"/>
          </w:divBdr>
        </w:div>
        <w:div w:id="980647790">
          <w:marLeft w:val="0"/>
          <w:marRight w:val="0"/>
          <w:marTop w:val="0"/>
          <w:marBottom w:val="0"/>
          <w:divBdr>
            <w:top w:val="none" w:sz="0" w:space="0" w:color="auto"/>
            <w:left w:val="single" w:sz="18" w:space="15" w:color="6FA79A"/>
            <w:bottom w:val="none" w:sz="0" w:space="0" w:color="auto"/>
            <w:right w:val="none" w:sz="0" w:space="0" w:color="auto"/>
          </w:divBdr>
        </w:div>
        <w:div w:id="1612204562">
          <w:marLeft w:val="0"/>
          <w:marRight w:val="0"/>
          <w:marTop w:val="0"/>
          <w:marBottom w:val="330"/>
          <w:divBdr>
            <w:top w:val="none" w:sz="0" w:space="0" w:color="auto"/>
            <w:left w:val="none" w:sz="0" w:space="0" w:color="auto"/>
            <w:bottom w:val="none" w:sz="0" w:space="0" w:color="auto"/>
            <w:right w:val="none" w:sz="0" w:space="0" w:color="auto"/>
          </w:divBdr>
        </w:div>
        <w:div w:id="1473205803">
          <w:marLeft w:val="0"/>
          <w:marRight w:val="0"/>
          <w:marTop w:val="210"/>
          <w:marBottom w:val="210"/>
          <w:divBdr>
            <w:top w:val="single" w:sz="6" w:space="14" w:color="2A373A"/>
            <w:left w:val="single" w:sz="6" w:space="15" w:color="2A373A"/>
            <w:bottom w:val="single" w:sz="6" w:space="14" w:color="2A373A"/>
            <w:right w:val="single" w:sz="6" w:space="15" w:color="2A373A"/>
          </w:divBdr>
          <w:divsChild>
            <w:div w:id="600068414">
              <w:marLeft w:val="0"/>
              <w:marRight w:val="0"/>
              <w:marTop w:val="0"/>
              <w:marBottom w:val="0"/>
              <w:divBdr>
                <w:top w:val="none" w:sz="0" w:space="0" w:color="auto"/>
                <w:left w:val="none" w:sz="0" w:space="0" w:color="auto"/>
                <w:bottom w:val="none" w:sz="0" w:space="0" w:color="auto"/>
                <w:right w:val="none" w:sz="0" w:space="0" w:color="auto"/>
              </w:divBdr>
            </w:div>
          </w:divsChild>
        </w:div>
        <w:div w:id="1786995128">
          <w:marLeft w:val="0"/>
          <w:marRight w:val="0"/>
          <w:marTop w:val="210"/>
          <w:marBottom w:val="210"/>
          <w:divBdr>
            <w:top w:val="single" w:sz="6" w:space="14" w:color="2A373A"/>
            <w:left w:val="single" w:sz="6" w:space="15" w:color="2A373A"/>
            <w:bottom w:val="single" w:sz="6" w:space="14" w:color="2A373A"/>
            <w:right w:val="single" w:sz="6" w:space="15" w:color="2A373A"/>
          </w:divBdr>
          <w:divsChild>
            <w:div w:id="1055272459">
              <w:marLeft w:val="0"/>
              <w:marRight w:val="0"/>
              <w:marTop w:val="0"/>
              <w:marBottom w:val="0"/>
              <w:divBdr>
                <w:top w:val="none" w:sz="0" w:space="0" w:color="auto"/>
                <w:left w:val="none" w:sz="0" w:space="0" w:color="auto"/>
                <w:bottom w:val="none" w:sz="0" w:space="0" w:color="auto"/>
                <w:right w:val="none" w:sz="0" w:space="0" w:color="auto"/>
              </w:divBdr>
            </w:div>
          </w:divsChild>
        </w:div>
        <w:div w:id="1066997656">
          <w:marLeft w:val="0"/>
          <w:marRight w:val="0"/>
          <w:marTop w:val="210"/>
          <w:marBottom w:val="210"/>
          <w:divBdr>
            <w:top w:val="single" w:sz="6" w:space="14" w:color="2A373A"/>
            <w:left w:val="single" w:sz="6" w:space="15" w:color="2A373A"/>
            <w:bottom w:val="single" w:sz="6" w:space="14" w:color="2A373A"/>
            <w:right w:val="single" w:sz="6" w:space="15" w:color="2A373A"/>
          </w:divBdr>
          <w:divsChild>
            <w:div w:id="2036998998">
              <w:marLeft w:val="0"/>
              <w:marRight w:val="0"/>
              <w:marTop w:val="0"/>
              <w:marBottom w:val="0"/>
              <w:divBdr>
                <w:top w:val="none" w:sz="0" w:space="0" w:color="auto"/>
                <w:left w:val="none" w:sz="0" w:space="0" w:color="auto"/>
                <w:bottom w:val="none" w:sz="0" w:space="0" w:color="auto"/>
                <w:right w:val="none" w:sz="0" w:space="0" w:color="auto"/>
              </w:divBdr>
            </w:div>
          </w:divsChild>
        </w:div>
        <w:div w:id="757020015">
          <w:marLeft w:val="0"/>
          <w:marRight w:val="0"/>
          <w:marTop w:val="210"/>
          <w:marBottom w:val="210"/>
          <w:divBdr>
            <w:top w:val="single" w:sz="6" w:space="14" w:color="2A373A"/>
            <w:left w:val="single" w:sz="6" w:space="15" w:color="2A373A"/>
            <w:bottom w:val="single" w:sz="6" w:space="14" w:color="2A373A"/>
            <w:right w:val="single" w:sz="6" w:space="15" w:color="2A373A"/>
          </w:divBdr>
          <w:divsChild>
            <w:div w:id="680010725">
              <w:marLeft w:val="0"/>
              <w:marRight w:val="0"/>
              <w:marTop w:val="0"/>
              <w:marBottom w:val="0"/>
              <w:divBdr>
                <w:top w:val="none" w:sz="0" w:space="0" w:color="auto"/>
                <w:left w:val="none" w:sz="0" w:space="0" w:color="auto"/>
                <w:bottom w:val="none" w:sz="0" w:space="0" w:color="auto"/>
                <w:right w:val="none" w:sz="0" w:space="0" w:color="auto"/>
              </w:divBdr>
            </w:div>
          </w:divsChild>
        </w:div>
        <w:div w:id="1535657435">
          <w:marLeft w:val="0"/>
          <w:marRight w:val="0"/>
          <w:marTop w:val="210"/>
          <w:marBottom w:val="210"/>
          <w:divBdr>
            <w:top w:val="single" w:sz="6" w:space="14" w:color="2A373A"/>
            <w:left w:val="single" w:sz="6" w:space="15" w:color="2A373A"/>
            <w:bottom w:val="single" w:sz="6" w:space="14" w:color="2A373A"/>
            <w:right w:val="single" w:sz="6" w:space="15" w:color="2A373A"/>
          </w:divBdr>
          <w:divsChild>
            <w:div w:id="1994990170">
              <w:marLeft w:val="0"/>
              <w:marRight w:val="0"/>
              <w:marTop w:val="0"/>
              <w:marBottom w:val="0"/>
              <w:divBdr>
                <w:top w:val="none" w:sz="0" w:space="0" w:color="auto"/>
                <w:left w:val="none" w:sz="0" w:space="0" w:color="auto"/>
                <w:bottom w:val="none" w:sz="0" w:space="0" w:color="auto"/>
                <w:right w:val="none" w:sz="0" w:space="0" w:color="auto"/>
              </w:divBdr>
            </w:div>
          </w:divsChild>
        </w:div>
        <w:div w:id="84233176">
          <w:marLeft w:val="0"/>
          <w:marRight w:val="0"/>
          <w:marTop w:val="210"/>
          <w:marBottom w:val="210"/>
          <w:divBdr>
            <w:top w:val="single" w:sz="6" w:space="14" w:color="2A373A"/>
            <w:left w:val="single" w:sz="6" w:space="15" w:color="2A373A"/>
            <w:bottom w:val="single" w:sz="6" w:space="14" w:color="2A373A"/>
            <w:right w:val="single" w:sz="6" w:space="15" w:color="2A373A"/>
          </w:divBdr>
          <w:divsChild>
            <w:div w:id="1927685736">
              <w:marLeft w:val="0"/>
              <w:marRight w:val="0"/>
              <w:marTop w:val="0"/>
              <w:marBottom w:val="0"/>
              <w:divBdr>
                <w:top w:val="none" w:sz="0" w:space="0" w:color="auto"/>
                <w:left w:val="none" w:sz="0" w:space="0" w:color="auto"/>
                <w:bottom w:val="none" w:sz="0" w:space="0" w:color="auto"/>
                <w:right w:val="none" w:sz="0" w:space="0" w:color="auto"/>
              </w:divBdr>
            </w:div>
          </w:divsChild>
        </w:div>
        <w:div w:id="753630933">
          <w:marLeft w:val="0"/>
          <w:marRight w:val="0"/>
          <w:marTop w:val="0"/>
          <w:marBottom w:val="330"/>
          <w:divBdr>
            <w:top w:val="none" w:sz="0" w:space="0" w:color="auto"/>
            <w:left w:val="none" w:sz="0" w:space="0" w:color="auto"/>
            <w:bottom w:val="none" w:sz="0" w:space="0" w:color="auto"/>
            <w:right w:val="none" w:sz="0" w:space="0" w:color="auto"/>
          </w:divBdr>
        </w:div>
        <w:div w:id="1855537019">
          <w:marLeft w:val="0"/>
          <w:marRight w:val="0"/>
          <w:marTop w:val="180"/>
          <w:marBottom w:val="180"/>
          <w:divBdr>
            <w:top w:val="single" w:sz="6" w:space="12" w:color="2A373A"/>
            <w:left w:val="single" w:sz="6" w:space="15" w:color="2A373A"/>
            <w:bottom w:val="single" w:sz="6" w:space="12" w:color="2A373A"/>
            <w:right w:val="single" w:sz="6" w:space="15" w:color="2A373A"/>
          </w:divBdr>
        </w:div>
        <w:div w:id="2090998272">
          <w:marLeft w:val="0"/>
          <w:marRight w:val="0"/>
          <w:marTop w:val="180"/>
          <w:marBottom w:val="180"/>
          <w:divBdr>
            <w:top w:val="single" w:sz="6" w:space="12" w:color="2A373A"/>
            <w:left w:val="single" w:sz="6" w:space="15" w:color="2A373A"/>
            <w:bottom w:val="single" w:sz="6" w:space="12" w:color="2A373A"/>
            <w:right w:val="single" w:sz="6" w:space="15" w:color="2A373A"/>
          </w:divBdr>
        </w:div>
        <w:div w:id="108208776">
          <w:marLeft w:val="0"/>
          <w:marRight w:val="0"/>
          <w:marTop w:val="180"/>
          <w:marBottom w:val="180"/>
          <w:divBdr>
            <w:top w:val="single" w:sz="6" w:space="12" w:color="2A373A"/>
            <w:left w:val="single" w:sz="6" w:space="15" w:color="2A373A"/>
            <w:bottom w:val="single" w:sz="6" w:space="12" w:color="2A373A"/>
            <w:right w:val="single" w:sz="6" w:space="15" w:color="2A373A"/>
          </w:divBdr>
        </w:div>
        <w:div w:id="1262951290">
          <w:marLeft w:val="0"/>
          <w:marRight w:val="0"/>
          <w:marTop w:val="180"/>
          <w:marBottom w:val="180"/>
          <w:divBdr>
            <w:top w:val="single" w:sz="6" w:space="12" w:color="2A373A"/>
            <w:left w:val="single" w:sz="6" w:space="15" w:color="2A373A"/>
            <w:bottom w:val="single" w:sz="6" w:space="12" w:color="2A373A"/>
            <w:right w:val="single" w:sz="6" w:space="15" w:color="2A373A"/>
          </w:divBdr>
        </w:div>
        <w:div w:id="412817106">
          <w:marLeft w:val="0"/>
          <w:marRight w:val="0"/>
          <w:marTop w:val="180"/>
          <w:marBottom w:val="180"/>
          <w:divBdr>
            <w:top w:val="single" w:sz="6" w:space="12" w:color="2A373A"/>
            <w:left w:val="single" w:sz="6" w:space="15" w:color="2A373A"/>
            <w:bottom w:val="single" w:sz="6" w:space="12" w:color="2A373A"/>
            <w:right w:val="single" w:sz="6" w:space="15" w:color="2A373A"/>
          </w:divBdr>
        </w:div>
        <w:div w:id="195890167">
          <w:marLeft w:val="0"/>
          <w:marRight w:val="0"/>
          <w:marTop w:val="180"/>
          <w:marBottom w:val="180"/>
          <w:divBdr>
            <w:top w:val="single" w:sz="6" w:space="12" w:color="2A373A"/>
            <w:left w:val="single" w:sz="6" w:space="15" w:color="2A373A"/>
            <w:bottom w:val="single" w:sz="6" w:space="12" w:color="2A373A"/>
            <w:right w:val="single" w:sz="6" w:space="15" w:color="2A373A"/>
          </w:divBdr>
        </w:div>
        <w:div w:id="389038370">
          <w:marLeft w:val="0"/>
          <w:marRight w:val="0"/>
          <w:marTop w:val="180"/>
          <w:marBottom w:val="180"/>
          <w:divBdr>
            <w:top w:val="single" w:sz="6" w:space="12" w:color="2A373A"/>
            <w:left w:val="single" w:sz="6" w:space="15" w:color="2A373A"/>
            <w:bottom w:val="single" w:sz="6" w:space="12" w:color="2A373A"/>
            <w:right w:val="single" w:sz="6" w:space="15" w:color="2A373A"/>
          </w:divBdr>
        </w:div>
        <w:div w:id="1631545452">
          <w:marLeft w:val="0"/>
          <w:marRight w:val="0"/>
          <w:marTop w:val="180"/>
          <w:marBottom w:val="180"/>
          <w:divBdr>
            <w:top w:val="single" w:sz="6" w:space="12" w:color="2A373A"/>
            <w:left w:val="single" w:sz="6" w:space="15" w:color="2A373A"/>
            <w:bottom w:val="single" w:sz="6" w:space="12" w:color="2A373A"/>
            <w:right w:val="single" w:sz="6" w:space="15" w:color="2A373A"/>
          </w:divBdr>
        </w:div>
        <w:div w:id="277496124">
          <w:marLeft w:val="0"/>
          <w:marRight w:val="0"/>
          <w:marTop w:val="180"/>
          <w:marBottom w:val="180"/>
          <w:divBdr>
            <w:top w:val="single" w:sz="6" w:space="12" w:color="2A373A"/>
            <w:left w:val="single" w:sz="6" w:space="15" w:color="2A373A"/>
            <w:bottom w:val="single" w:sz="6" w:space="12" w:color="2A373A"/>
            <w:right w:val="single" w:sz="6" w:space="15" w:color="2A373A"/>
          </w:divBdr>
        </w:div>
        <w:div w:id="1226065397">
          <w:marLeft w:val="0"/>
          <w:marRight w:val="0"/>
          <w:marTop w:val="180"/>
          <w:marBottom w:val="180"/>
          <w:divBdr>
            <w:top w:val="none" w:sz="0" w:space="0" w:color="auto"/>
            <w:left w:val="single" w:sz="18" w:space="12" w:color="D08A3E"/>
            <w:bottom w:val="none" w:sz="0" w:space="0" w:color="auto"/>
            <w:right w:val="none" w:sz="0" w:space="0" w:color="auto"/>
          </w:divBdr>
          <w:divsChild>
            <w:div w:id="1116292250">
              <w:marLeft w:val="0"/>
              <w:marRight w:val="0"/>
              <w:marTop w:val="0"/>
              <w:marBottom w:val="0"/>
              <w:divBdr>
                <w:top w:val="none" w:sz="0" w:space="0" w:color="auto"/>
                <w:left w:val="none" w:sz="0" w:space="0" w:color="auto"/>
                <w:bottom w:val="none" w:sz="0" w:space="0" w:color="auto"/>
                <w:right w:val="none" w:sz="0" w:space="0" w:color="auto"/>
              </w:divBdr>
            </w:div>
            <w:div w:id="136498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3239</Words>
  <Characters>18468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Skelin Mile EBC</dc:creator>
  <cp:keywords/>
  <dc:description/>
  <cp:lastModifiedBy>Mile Skelin</cp:lastModifiedBy>
  <cp:revision>3</cp:revision>
  <dcterms:created xsi:type="dcterms:W3CDTF">2026-08-24T21:42:00Z</dcterms:created>
  <dcterms:modified xsi:type="dcterms:W3CDTF">2026-08-24T22:18:00Z</dcterms:modified>
</cp:coreProperties>
</file>