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3D920">
      <w:pPr>
        <w:pStyle w:val="13"/>
      </w:pPr>
      <w:r>
        <w:t>论文撰写材料 diffdynamic</w:t>
      </w:r>
    </w:p>
    <w:p w14:paraId="2BF69550">
      <w:pPr>
        <w:pStyle w:val="11"/>
        <w:widowControl/>
        <w:rPr>
          <w:color w:val="000000"/>
        </w:rPr>
      </w:pPr>
      <w:r>
        <w:rPr>
          <w:color w:val="000000"/>
        </w:rPr>
        <w:t>One major advantage of TargetDiff over auto-regressive based model such AR is that TargetDiff scales better against the size of the molecules.While AR is required to run additional steps to generate larger molecules,the diffusion model can operate on additional atoms in a parallel fashion</w:t>
      </w:r>
      <w:r>
        <w:rPr>
          <w:rFonts w:hint="eastAsia"/>
          <w:color w:val="000000"/>
          <w:lang w:val="en-US" w:eastAsia="zh-CN"/>
        </w:rPr>
        <w:t xml:space="preserve"> </w:t>
      </w:r>
      <w:r>
        <w:rPr>
          <w:color w:val="000000"/>
        </w:rPr>
        <w:t>without sacrificing a lot of inference time.</w:t>
      </w:r>
    </w:p>
    <w:p w14:paraId="0CF3E80A">
      <w:pPr>
        <w:pStyle w:val="11"/>
        <w:widowControl/>
        <w:rPr>
          <w:color w:val="000000"/>
        </w:rPr>
      </w:pPr>
      <w:r>
        <w:rPr>
          <w:color w:val="000000"/>
        </w:rPr>
        <w:t>To better demonstrate such effect,we randomly select 5 binding pockets as targets and record the time spent in generating 100 molecules for each pocket using both autoregessive models(includ</w:t>
      </w:r>
      <w:r>
        <w:rPr>
          <w:color w:val="000000"/>
        </w:rPr>
        <w:t/>
      </w:r>
      <w:r>
        <w:rPr>
          <w:color w:val="000000"/>
        </w:rPr>
        <w:t>ing AR,Pocket2Mol and GraphBP)and TargetDiff.Since these models have different numbers of parameters and sampling schemes,we first compare the inference time ratio against generating a 10-atom molecule for these models,instead of simply comparing their wall time.</w:t>
      </w:r>
    </w:p>
    <w:p w14:paraId="612284C1">
      <w:pPr>
        <w:pStyle w:val="11"/>
        <w:widowControl/>
      </w:pPr>
      <w:r>
        <w:rPr>
          <w:color w:val="000000"/>
        </w:rPr>
        <w:t>As shown in Figure S3,as we start to generate larger and larger molecules,the wall time for AR grows almost linearly</w:t>
      </w:r>
      <w:r>
        <w:rPr>
          <w:rFonts w:hint="eastAsia"/>
          <w:color w:val="000000"/>
          <w:lang w:val="en-US" w:eastAsia="zh-CN"/>
        </w:rPr>
        <w:t xml:space="preserve"> </w:t>
      </w:r>
      <w:r>
        <w:rPr>
          <w:color w:val="000000"/>
        </w:rPr>
        <w:t>along with the molecule size,while the wall time for TargetDiff stays relatively flat.</w:t>
      </w:r>
    </w:p>
    <w:p w14:paraId="11652ABA">
      <w:pPr>
        <w:pStyle w:val="11"/>
        <w:widowControl/>
      </w:pPr>
      <w:r>
        <w:rPr>
          <w:color w:val="000000"/>
        </w:rPr>
        <w:t>In terms of wall clock time,AR,Pocket2Mol and GraphBP use 7785s,2544s and 105s for generating 100 valid molecules on average separately,and it takes 3428s on average for TargetDiff.</w:t>
      </w:r>
      <w:r>
        <w:rPr>
          <w:rFonts w:hint="eastAsia"/>
          <w:color w:val="000000"/>
          <w:lang w:val="en-US" w:eastAsia="zh-CN"/>
        </w:rPr>
        <w:t xml:space="preserve"> </w:t>
      </w:r>
      <w:r>
        <w:rPr>
          <w:color w:val="000000"/>
        </w:rPr>
        <w:t>GraphBP has the fastest sampling time but the quality of generated molecules is lower than other models(See</w:t>
      </w:r>
    </w:p>
    <w:p w14:paraId="2FA1403A">
      <w:pPr>
        <w:pStyle w:val="11"/>
        <w:widowControl/>
        <w:ind w:left="0" w:leftChars="0" w:firstLine="0" w:firstLineChars="0"/>
      </w:pPr>
      <w:r>
        <w:rPr>
          <w:color w:val="000000"/>
        </w:rPr>
        <w:t>Table 3).TargetDiff has the moderate sampling efficiency compared to AR and Pocket2Mol.</w:t>
      </w:r>
    </w:p>
    <w:p w14:paraId="7FEBF599">
      <w:pPr>
        <w:rPr>
          <w:rFonts w:hint="default"/>
          <w:lang w:val="en-US" w:eastAsia="zh-CN"/>
        </w:rPr>
      </w:pPr>
      <w:r>
        <w:rPr>
          <w:rFonts w:ascii="Segoe UI Emoji" w:hAnsi="Segoe UI Emoji" w:eastAsia="Segoe UI Emoji" w:cs="Segoe UI Emoji"/>
          <w:i w:val="0"/>
          <w:iCs w:val="0"/>
          <w:caps w:val="0"/>
          <w:color w:val="1F2329"/>
          <w:spacing w:val="0"/>
          <w:sz w:val="24"/>
          <w:szCs w:val="24"/>
          <w:shd w:val="clear" w:fill="FFFFFF"/>
        </w:rPr>
        <w:t>1. 测试集详情 - **PDBbind数据集**：训练集17.3K复合物、验证集1.8K复合物、测试集0.1K（100个）复合物，含实验测定的结合亲和力数据。 - **CrossDocked数据集**：仅用于测试，经筛选后测试集为100个蛋白-配体对（训练集10万个，因无亲和力数据未用于模型训练）。 - 核心规则：每个测试集中的蛋白靶点，均生成100个分子用于后续指标计算与均值统计。 ### 2. 测试标准（核心16类指标，分3大维度） - **结构质量维度**：JS散度（键长/键角/二面角分布相似度）、RMSD（重原子构象偏差）、环尺寸占比（5/6元环占比≥95%为合理）。 - **分子基础指标**：原子稳定性（价态正确占比）、分子稳定性、PB-validity（几何合理性）、RDKit-validity（化学有效性）、新颖性、唯一性、配体相似度、蛋白-配体相互作用相似度。 - **分子性质指标**：结合亲和力（Vina Score/Min/Dock）、药物相似性（QED）、合成可及性（SA）、脂溶性（LogP）、拓扑极性表面积（TPSA）、结合自由能（MMGBSA法）。 ### 3. 计算均值所用分子数量 明确说明：**每个测试靶点生成100个分子**，所有分子性质（如Vina分数、QED、SA）、结构指标（如JS散度均值）的均值计算，均基于这100个分子；部分补充实验（如RMSD分布分析）中，各方法会采样10000个分子，但核心均值统计仍以“每个靶点100个分子”为标准。 需要我帮</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4030D"/>
    <w:rsid w:val="6BE40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2025-12-15T07:41:00Z</dcterms:created>
  <dc:creator>叶行健</dc:creator>
  <cp:lastModifiedBy>叶行健</cp:lastModifiedBy>
  <dcterms:modified xsi:type="dcterms:W3CDTF">2025-12-15T07:48:36Z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74DCFAB1309942E0A68FAEEE228248C9_11</vt:lpwstr>
  </property>
  <property fmtid="{D5CDD505-2E9C-101B-9397-08002B2CF9AE}" pid="4" name="KSOTemplateDocerSaveRecord">
    <vt:lpwstr>eyJoZGlkIjoiOGY2YjdmODg4NTc5MTA4Zjg1ODZlNzhhMDJjYjI1NjkiLCJ1c2VySWQiOiI1NjQ2NTc4ODQifQ==</vt:lpwstr>
  </property>
</Properties>
</file>