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tag w:val="ox:931739e9-5c3e-5a94-a161-c6551cbee3ad"/>
        <w:id w:val="975576980"/>
      </w:sdtPr>
      <w:sdtContent>
        <w:p w14:paraId="58FACB40" w14:textId="77777777" w:rsidR="00B14F43" w:rsidRDefault="00000000">
          <w:pPr>
            <w:pStyle w:val="Heading2"/>
            <w:contextualSpacing w:val="0"/>
          </w:pPr>
          <w:r>
            <w:t>Introduction</w:t>
          </w:r>
        </w:p>
      </w:sdtContent>
    </w:sdt>
    <w:sdt>
      <w:sdtPr>
        <w:tag w:val="ox:93f104c1-e11b-5c2e-9085-76836fbe157e"/>
        <w:id w:val="-846331968"/>
      </w:sdtPr>
      <w:sdtContent>
        <w:p w14:paraId="28544765" w14:textId="77777777" w:rsidR="00B14F43" w:rsidRDefault="00000000">
          <w:pPr>
            <w:pStyle w:val="LO-normal"/>
          </w:pPr>
          <w:r>
            <w:t xml:space="preserve">Life science data is evolving to be ever larger, more distributed, and more natively </w:t>
          </w:r>
          <w:proofErr w:type="gramStart"/>
          <w:r>
            <w:t>web-based</w:t>
          </w:r>
          <w:proofErr w:type="gramEnd"/>
          <w:r>
            <w:t xml:space="preserve">. However, our collective handling of identifiers has </w:t>
          </w:r>
          <w:proofErr w:type="gramStart"/>
          <w:r>
            <w:t>lagged behind</w:t>
          </w:r>
          <w:proofErr w:type="gramEnd"/>
          <w:r>
            <w:t xml:space="preserve"> these advances. Diverse identifier issues (for instance “</w:t>
          </w:r>
          <w:r>
            <w:rPr>
              <w:rFonts w:ascii="Consolas" w:hAnsi="Consolas"/>
            </w:rPr>
            <w:t>link rot</w:t>
          </w:r>
          <w:r>
            <w:t>” and “</w:t>
          </w:r>
          <w:r>
            <w:rPr>
              <w:rFonts w:ascii="Consolas" w:hAnsi="Consolas"/>
            </w:rPr>
            <w:t>content drift</w:t>
          </w:r>
          <w:r>
            <w:t xml:space="preserve">” [1]) have hampered our ability to integrate data and derive new knowledge from it. Optimizing web-based identifiers is harder than it appears and no single scheme is perfect:  Identifiers are reused in different ways for different reasons, by different consumers. Moreover, digital entities (e.g., files), physical entities (e.g., </w:t>
          </w:r>
          <w:proofErr w:type="spellStart"/>
          <w:r>
            <w:t>biosamples</w:t>
          </w:r>
          <w:proofErr w:type="spellEnd"/>
          <w:r>
            <w:t xml:space="preserve">), and descriptive entities (e.g., ‘mitosis’) have different requirements for identifiers. Nevertheless, there is substantial room for improvement throughout the life </w:t>
          </w:r>
          <w:proofErr w:type="gramStart"/>
          <w:r>
            <w:t>sciences</w:t>
          </w:r>
          <w:proofErr w:type="gramEnd"/>
          <w:r>
            <w:t xml:space="preserve"> and several other groups have been converging on identifier standards that are broadly applicable [</w:t>
          </w:r>
          <w:hyperlink r:id="rId7" w:history="1">
            <w:r>
              <w:rPr>
                <w:color w:val="1155CC"/>
                <w:u w:val="single"/>
              </w:rPr>
              <w:t>2</w:t>
            </w:r>
          </w:hyperlink>
          <w:r>
            <w:t xml:space="preserve">, </w:t>
          </w:r>
          <w:hyperlink r:id="rId8" w:history="1">
            <w:r>
              <w:rPr>
                <w:color w:val="1155CC"/>
                <w:u w:val="single"/>
              </w:rPr>
              <w:t>3</w:t>
            </w:r>
          </w:hyperlink>
          <w:r>
            <w:t xml:space="preserve">, </w:t>
          </w:r>
          <w:hyperlink r:id="rId9" w:history="1">
            <w:r>
              <w:rPr>
                <w:color w:val="1155CC"/>
                <w:u w:val="single"/>
              </w:rPr>
              <w:t>4</w:t>
            </w:r>
          </w:hyperlink>
          <w:r>
            <w:t xml:space="preserve">, </w:t>
          </w:r>
          <w:hyperlink r:id="rId10" w:history="1">
            <w:r>
              <w:rPr>
                <w:color w:val="1155CC"/>
                <w:u w:val="single"/>
              </w:rPr>
              <w:t>5</w:t>
            </w:r>
          </w:hyperlink>
          <w:r>
            <w:t>].</w:t>
          </w:r>
        </w:p>
      </w:sdtContent>
    </w:sdt>
    <w:sdt>
      <w:sdtPr>
        <w:tag w:val="ox:349d1819-808c-56b8-a4d6-30aa5d5e822d"/>
        <w:id w:val="-947472928"/>
      </w:sdtPr>
      <w:sdtContent>
        <w:p w14:paraId="4443ABCF" w14:textId="77777777" w:rsidR="00B14F43" w:rsidRDefault="00000000">
          <w:pPr>
            <w:pStyle w:val="LO-normal"/>
          </w:pPr>
        </w:p>
      </w:sdtContent>
    </w:sdt>
    <w:sdt>
      <w:sdtPr>
        <w:tag w:val="ox:2515be42-36ee-533e-a225-b68d70df89d0"/>
        <w:id w:val="-1542506533"/>
      </w:sdtPr>
      <w:sdtContent>
        <w:p w14:paraId="7322EDED" w14:textId="77777777" w:rsidR="00B14F43" w:rsidRDefault="00000000">
          <w:pPr>
            <w:pStyle w:val="LO-normal"/>
          </w:pPr>
          <w:r>
            <w:t>Building on these efforts and drawing on our experience, we focus on the use case of large-scale data integration: we outline the identifier qualities and best practices that we feel are most important in this context. Specifically, we propose actions that providers of online databases (</w:t>
          </w:r>
          <w:r>
            <w:rPr>
              <w:rFonts w:ascii="Consolas" w:hAnsi="Consolas"/>
            </w:rPr>
            <w:t>repositories, registries</w:t>
          </w:r>
          <w:r>
            <w:t xml:space="preserve">, and </w:t>
          </w:r>
          <w:r>
            <w:rPr>
              <w:rFonts w:ascii="Consolas" w:hAnsi="Consolas"/>
            </w:rPr>
            <w:t>knowledgebases</w:t>
          </w:r>
          <w:r>
            <w:t>) should take when designing new identifiers or maintaining existing ones (</w:t>
          </w:r>
          <w:r>
            <w:rPr>
              <w:b/>
            </w:rPr>
            <w:t>Rules 1-9, Box 1</w:t>
          </w:r>
          <w:r>
            <w:t xml:space="preserve">). In </w:t>
          </w:r>
          <w:r>
            <w:rPr>
              <w:b/>
            </w:rPr>
            <w:t>Rule 10</w:t>
          </w:r>
          <w:r>
            <w:t>, we conclude with guidance to data integrators and redistributors on how best to reference identifiers from these diverse sources. This article may also be useful to data generators and end users as it offers insight into the issues associated with data provision in a web environment. We call upon data providers to take a long-term view of their entities’ scope and lifecycle, and to consider existing identifier platforms and services [</w:t>
          </w:r>
          <w:hyperlink r:id="rId11" w:history="1">
            <w:r>
              <w:rPr>
                <w:color w:val="1155CC"/>
                <w:u w:val="single"/>
              </w:rPr>
              <w:t>6</w:t>
            </w:r>
          </w:hyperlink>
          <w:r>
            <w:t xml:space="preserve">]. </w:t>
          </w:r>
        </w:p>
      </w:sdtContent>
    </w:sdt>
    <w:sdt>
      <w:sdtPr>
        <w:tag w:val="ox:2e5c33d4-e0b7-56a7-9613-b21b1f1b8c3e"/>
        <w:id w:val="777920858"/>
      </w:sdtPr>
      <w:sdtContent>
        <w:p w14:paraId="1E0E931D" w14:textId="77777777" w:rsidR="00B14F43" w:rsidRDefault="00000000">
          <w:pPr>
            <w:pStyle w:val="LO-normal"/>
          </w:pPr>
        </w:p>
      </w:sdtContent>
    </w:sdt>
    <w:sdt>
      <w:sdtPr>
        <w:tag w:val="ox:f371fe31-9ef1-5fe3-8e14-feb5160bcadd"/>
        <w:id w:val="-1078598555"/>
      </w:sdtPr>
      <w:sdtContent>
        <w:p w14:paraId="302E764F" w14:textId="77777777" w:rsidR="00B14F43" w:rsidRDefault="00000000">
          <w:pPr>
            <w:pStyle w:val="LO-normal"/>
          </w:pPr>
          <w:r>
            <w:t>Throughout this document, the keywords "must", “should”, "recommended", etc are used here interpreted as described by the W3C</w:t>
          </w:r>
          <w:hyperlink r:id="rId12" w:history="1">
            <w:r>
              <w:rPr>
                <w:color w:val="000080"/>
                <w:u w:val="single"/>
              </w:rPr>
              <w:t>[7]</w:t>
            </w:r>
          </w:hyperlink>
          <w:r>
            <w:t xml:space="preserve">. Terms that appear in </w:t>
          </w:r>
          <w:r>
            <w:rPr>
              <w:rFonts w:ascii="Consolas" w:hAnsi="Consolas"/>
            </w:rPr>
            <w:t>fixed-width font</w:t>
          </w:r>
          <w:r>
            <w:t xml:space="preserve"> are also defined in the supplemental glossary (</w:t>
          </w:r>
          <w:r>
            <w:rPr>
              <w:b/>
            </w:rPr>
            <w:t>Table S2</w:t>
          </w:r>
          <w:r>
            <w:t>).</w:t>
          </w:r>
        </w:p>
      </w:sdtContent>
    </w:sdt>
    <w:sdt>
      <w:sdtPr>
        <w:tag w:val="ox:da90334a-88c9-538c-941f-af503b5ebccb"/>
        <w:id w:val="1741210886"/>
      </w:sdtPr>
      <w:sdtContent>
        <w:p w14:paraId="017D8613" w14:textId="77777777" w:rsidR="00B14F43" w:rsidRDefault="00000000">
          <w:pPr>
            <w:pStyle w:val="LO-normal"/>
          </w:pPr>
        </w:p>
      </w:sdtContent>
    </w:sdt>
    <w:tbl>
      <w:tblPr>
        <w:tblW w:w="0" w:type="auto"/>
        <w:tblInd w:w="1003" w:type="dxa"/>
        <w:tblBorders>
          <w:top w:val="single" w:sz="4" w:space="0" w:color="auto"/>
          <w:left w:val="single" w:sz="4" w:space="0" w:color="auto"/>
          <w:bottom w:val="single" w:sz="4" w:space="0" w:color="auto"/>
          <w:right w:val="single" w:sz="4" w:space="0" w:color="auto"/>
        </w:tblBorders>
        <w:tblCellMar>
          <w:top w:w="100" w:type="dxa"/>
          <w:left w:w="90" w:type="dxa"/>
          <w:bottom w:w="100" w:type="dxa"/>
          <w:right w:w="100" w:type="dxa"/>
        </w:tblCellMar>
        <w:tblLook w:val="0000" w:firstRow="0" w:lastRow="0" w:firstColumn="0" w:lastColumn="0" w:noHBand="0" w:noVBand="0"/>
      </w:tblPr>
      <w:tblGrid>
        <w:gridCol w:w="8018"/>
      </w:tblGrid>
      <w:tr w:rsidR="00B14F43" w14:paraId="1C7340A7" w14:textId="77777777">
        <w:tc>
          <w:tcPr>
            <w:tcW w:w="8018" w:type="dxa"/>
            <w:tcMar>
              <w:top w:w="0" w:type="dxa"/>
              <w:left w:w="90" w:type="dxa"/>
              <w:bottom w:w="0" w:type="dxa"/>
              <w:right w:w="0" w:type="dxa"/>
            </w:tcMar>
          </w:tcPr>
          <w:sdt>
            <w:sdtPr>
              <w:tag w:val="ox:704e5d29-6f94-5203-8011-7287043ae85c"/>
              <w:id w:val="-889800393"/>
            </w:sdtPr>
            <w:sdtContent>
              <w:p w14:paraId="478D446B" w14:textId="77777777" w:rsidR="00B14F43" w:rsidRDefault="00000000">
                <w:pPr>
                  <w:widowControl w:val="0"/>
                  <w:jc w:val="left"/>
                </w:pPr>
                <w:r>
                  <w:t>Rule 1.  Use established identifiers</w:t>
                </w:r>
              </w:p>
              <w:p w14:paraId="11869B96" w14:textId="77777777" w:rsidR="00B14F43" w:rsidRDefault="00000000">
                <w:pPr>
                  <w:widowControl w:val="0"/>
                  <w:jc w:val="left"/>
                </w:pPr>
                <w:r>
                  <w:t>Rule 2.  Design identifiers for use by others</w:t>
                </w:r>
              </w:p>
              <w:p w14:paraId="740B78D8" w14:textId="77777777" w:rsidR="00B14F43" w:rsidRDefault="00000000">
                <w:pPr>
                  <w:widowControl w:val="0"/>
                  <w:jc w:val="left"/>
                </w:pPr>
                <w:r>
                  <w:t>Rule 3.  Help local identifiers travel well: document Prefix and Namespace</w:t>
                </w:r>
              </w:p>
              <w:p w14:paraId="7727EEE0" w14:textId="77777777" w:rsidR="00B14F43" w:rsidRDefault="00000000">
                <w:pPr>
                  <w:widowControl w:val="0"/>
                  <w:jc w:val="left"/>
                </w:pPr>
                <w:r>
                  <w:t xml:space="preserve">Rule 4.  </w:t>
                </w:r>
                <w:proofErr w:type="spellStart"/>
                <w:r>
                  <w:t>Opt</w:t>
                </w:r>
                <w:proofErr w:type="spellEnd"/>
                <w:r>
                  <w:t xml:space="preserve"> for simple durable web resolution </w:t>
                </w:r>
              </w:p>
              <w:p w14:paraId="520403AE" w14:textId="77777777" w:rsidR="00B14F43" w:rsidRDefault="00000000">
                <w:pPr>
                  <w:widowControl w:val="0"/>
                  <w:jc w:val="left"/>
                </w:pPr>
                <w:r>
                  <w:t>Rule 5.  Avoid embedding meaning</w:t>
                </w:r>
              </w:p>
              <w:p w14:paraId="7F0E113C" w14:textId="77777777" w:rsidR="00B14F43" w:rsidRDefault="00000000">
                <w:pPr>
                  <w:widowControl w:val="0"/>
                  <w:jc w:val="left"/>
                </w:pPr>
                <w:r>
                  <w:t>Rule 6.  Make URIs clear and findable</w:t>
                </w:r>
              </w:p>
              <w:p w14:paraId="59B821A2" w14:textId="77777777" w:rsidR="00B14F43" w:rsidRDefault="00000000">
                <w:pPr>
                  <w:widowControl w:val="0"/>
                  <w:jc w:val="left"/>
                </w:pPr>
                <w:r>
                  <w:t>Rule 7.  Implement a version management policy</w:t>
                </w:r>
              </w:p>
              <w:p w14:paraId="07EF20D7" w14:textId="77777777" w:rsidR="00B14F43" w:rsidRDefault="00000000">
                <w:pPr>
                  <w:widowControl w:val="0"/>
                  <w:jc w:val="left"/>
                </w:pPr>
                <w:r>
                  <w:t>Rule 8.  Do not re-assign or delete identifiers</w:t>
                </w:r>
              </w:p>
              <w:p w14:paraId="7BCB9B8A" w14:textId="77777777" w:rsidR="00B14F43" w:rsidRDefault="00000000">
                <w:pPr>
                  <w:widowControl w:val="0"/>
                  <w:jc w:val="left"/>
                </w:pPr>
                <w:r>
                  <w:t>Rule 9.  Document the identifiers you issue and use</w:t>
                </w:r>
              </w:p>
              <w:p w14:paraId="4D1AE941" w14:textId="77777777" w:rsidR="00B14F43" w:rsidRDefault="00000000">
                <w:pPr>
                  <w:widowControl w:val="0"/>
                  <w:jc w:val="left"/>
                </w:pPr>
                <w:r>
                  <w:t>Rule 10. Reference responsibly</w:t>
                </w:r>
              </w:p>
            </w:sdtContent>
          </w:sdt>
        </w:tc>
      </w:tr>
    </w:tbl>
    <w:sdt>
      <w:sdtPr>
        <w:tag w:val="ox:178aea1e-b753-551b-9eaa-a2eebe02d0b0"/>
        <w:id w:val="-611819321"/>
      </w:sdtPr>
      <w:sdtContent>
        <w:p w14:paraId="0C83F893" w14:textId="77777777" w:rsidR="00B14F43" w:rsidRDefault="00000000">
          <w:pPr>
            <w:pStyle w:val="LO-normal"/>
            <w:ind w:left="720" w:firstLine="720"/>
          </w:pPr>
          <w:r>
            <w:rPr>
              <w:b/>
            </w:rPr>
            <w:t>Box 1. A summary of the 10 simple rules</w:t>
          </w:r>
        </w:p>
      </w:sdtContent>
    </w:sdt>
    <w:sdt>
      <w:sdtPr>
        <w:tag w:val="ox:f2cf87aa-168c-5629-9901-4f603de7f800"/>
        <w:id w:val="327718409"/>
      </w:sdtPr>
      <w:sdtContent>
        <w:p w14:paraId="3DE3D1D4" w14:textId="77777777" w:rsidR="00B14F43" w:rsidRDefault="00000000">
          <w:pPr>
            <w:pStyle w:val="Heading2"/>
            <w:contextualSpacing w:val="0"/>
          </w:pPr>
          <w:r>
            <w:t>Rule 1: Use established identifiers</w:t>
          </w:r>
        </w:p>
      </w:sdtContent>
    </w:sdt>
    <w:sdt>
      <w:sdtPr>
        <w:tag w:val="ox:5d997271-76d5-5b8f-bced-8b6a6a47384d"/>
        <w:id w:val="868425553"/>
      </w:sdtPr>
      <w:sdtContent>
        <w:p w14:paraId="67F59538" w14:textId="77777777" w:rsidR="00B14F43" w:rsidRDefault="00000000">
          <w:pPr>
            <w:pStyle w:val="LO-normal"/>
          </w:pPr>
          <w:r>
            <w:t xml:space="preserve">If you manage an online </w:t>
          </w:r>
          <w:r>
            <w:rPr>
              <w:rFonts w:ascii="Consolas" w:hAnsi="Consolas"/>
            </w:rPr>
            <w:t>database (repository</w:t>
          </w:r>
          <w:r>
            <w:t xml:space="preserve">, </w:t>
          </w:r>
          <w:r>
            <w:rPr>
              <w:rFonts w:ascii="Consolas" w:hAnsi="Consolas"/>
            </w:rPr>
            <w:t>registry</w:t>
          </w:r>
          <w:r>
            <w:t xml:space="preserve">, or </w:t>
          </w:r>
          <w:r>
            <w:rPr>
              <w:rFonts w:ascii="Consolas" w:hAnsi="Consolas"/>
            </w:rPr>
            <w:t>knowledgebase)</w:t>
          </w:r>
          <w:r>
            <w:t xml:space="preserve">, you are likely to have new entities to identify. You might also issue alternate identifiers for external entities, for example to reduce risks posed by dependency on an outside source or to identify meaningful differences in an entity, its state, or its representation. </w:t>
          </w:r>
        </w:p>
      </w:sdtContent>
    </w:sdt>
    <w:sdt>
      <w:sdtPr>
        <w:tag w:val="ox:5b310732-ac8a-51ae-8652-1589597533ed"/>
        <w:id w:val="-1165472923"/>
      </w:sdtPr>
      <w:sdtContent>
        <w:p w14:paraId="536A7210" w14:textId="77777777" w:rsidR="00B14F43" w:rsidRDefault="00000000">
          <w:pPr>
            <w:pStyle w:val="LO-normal"/>
          </w:pPr>
        </w:p>
      </w:sdtContent>
    </w:sdt>
    <w:sdt>
      <w:sdtPr>
        <w:tag w:val="ox:ccfe9b5b-8ee1-51b5-9797-b4130937f0ae"/>
        <w:id w:val="-1535193548"/>
      </w:sdtPr>
      <w:sdtContent>
        <w:p w14:paraId="35A6BF28" w14:textId="77777777" w:rsidR="00B14F43" w:rsidRDefault="00000000">
          <w:pPr>
            <w:pStyle w:val="LO-normal"/>
          </w:pPr>
          <w:r>
            <w:t xml:space="preserve">If you must create your own </w:t>
          </w:r>
          <w:r>
            <w:rPr>
              <w:i/>
            </w:rPr>
            <w:t>alternate identifiers</w:t>
          </w:r>
          <w:r>
            <w:t xml:space="preserve">, you must document the relationship between the existing and alternate identifiers using established properties such as </w:t>
          </w:r>
          <w:hyperlink r:id="rId13" w:anchor="derives_from" w:history="1">
            <w:proofErr w:type="spellStart"/>
            <w:proofErr w:type="gramStart"/>
            <w:r>
              <w:rPr>
                <w:color w:val="1155CC"/>
                <w:u w:val="single"/>
              </w:rPr>
              <w:t>ro:</w:t>
            </w:r>
            <w:r>
              <w:rPr>
                <w:rFonts w:ascii="Consolas" w:hAnsi="Consolas"/>
                <w:color w:val="1155CC"/>
                <w:u w:val="single"/>
              </w:rPr>
              <w:t>derives</w:t>
            </w:r>
            <w:proofErr w:type="gramEnd"/>
            <w:r>
              <w:rPr>
                <w:rFonts w:ascii="Consolas" w:hAnsi="Consolas"/>
                <w:color w:val="1155CC"/>
                <w:u w:val="single"/>
              </w:rPr>
              <w:t>_from</w:t>
            </w:r>
            <w:proofErr w:type="spellEnd"/>
          </w:hyperlink>
          <w:r>
            <w:rPr>
              <w:rFonts w:ascii="Consolas" w:hAnsi="Consolas"/>
            </w:rPr>
            <w:t xml:space="preserve">, </w:t>
          </w:r>
          <w:hyperlink r:id="rId14" w:history="1">
            <w:proofErr w:type="spellStart"/>
            <w:proofErr w:type="gramStart"/>
            <w:r>
              <w:rPr>
                <w:rFonts w:ascii="Consolas" w:hAnsi="Consolas"/>
                <w:color w:val="1155CC"/>
                <w:u w:val="single"/>
              </w:rPr>
              <w:t>owl:sameAs</w:t>
            </w:r>
            <w:proofErr w:type="spellEnd"/>
            <w:proofErr w:type="gramEnd"/>
          </w:hyperlink>
          <w:r>
            <w:rPr>
              <w:rFonts w:ascii="Consolas" w:hAnsi="Consolas"/>
            </w:rPr>
            <w:t xml:space="preserve">, or </w:t>
          </w:r>
          <w:hyperlink r:id="rId15" w:anchor="broader" w:history="1">
            <w:proofErr w:type="spellStart"/>
            <w:proofErr w:type="gramStart"/>
            <w:r>
              <w:rPr>
                <w:rFonts w:ascii="Consolas" w:hAnsi="Consolas"/>
                <w:color w:val="1155CC"/>
                <w:u w:val="single"/>
              </w:rPr>
              <w:t>skos:broader</w:t>
            </w:r>
            <w:proofErr w:type="spellEnd"/>
            <w:proofErr w:type="gramEnd"/>
          </w:hyperlink>
          <w:r>
            <w:t xml:space="preserve">. If the motivation to create a new identifier is based upon the need to provide factual corrections of content, it is best to work with the database-of-origin to fix the source record rather than create a new one. Wherever the 1:1 relationship of </w:t>
          </w:r>
          <w:proofErr w:type="spellStart"/>
          <w:proofErr w:type="gramStart"/>
          <w:r>
            <w:t>identifier:entity</w:t>
          </w:r>
          <w:proofErr w:type="spellEnd"/>
          <w:proofErr w:type="gramEnd"/>
          <w:r>
            <w:t xml:space="preserve"> breaks down, costly mapping problems are created. Wherever possible, reference well-established identifiers (even problematic ones; see Rule 10) rather than creating new ones.  </w:t>
          </w:r>
        </w:p>
      </w:sdtContent>
    </w:sdt>
    <w:sdt>
      <w:sdtPr>
        <w:tag w:val="ox:11329549-e12c-5d20-8610-b5401034358a"/>
        <w:id w:val="-63492048"/>
      </w:sdtPr>
      <w:sdtContent>
        <w:p w14:paraId="59003839" w14:textId="77777777" w:rsidR="00B14F43" w:rsidRDefault="00000000">
          <w:pPr>
            <w:pStyle w:val="LO-normal"/>
          </w:pPr>
        </w:p>
      </w:sdtContent>
    </w:sdt>
    <w:sdt>
      <w:sdtPr>
        <w:tag w:val="ox:d257e77b-331d-5ca0-b86e-70242b005d59"/>
        <w:id w:val="-1823908"/>
      </w:sdtPr>
      <w:sdtContent>
        <w:p w14:paraId="7879C29D" w14:textId="77777777" w:rsidR="00B14F43" w:rsidRDefault="00000000">
          <w:pPr>
            <w:pStyle w:val="Heading2"/>
            <w:contextualSpacing w:val="0"/>
          </w:pPr>
          <w:r>
            <w:t>Rule 2: Design identifiers for diverse uses by others</w:t>
          </w:r>
        </w:p>
      </w:sdtContent>
    </w:sdt>
    <w:sdt>
      <w:sdtPr>
        <w:tag w:val="ox:ea4e3afb-1f9b-5023-96e7-0dcb92db9c79"/>
        <w:id w:val="-1365048897"/>
      </w:sdtPr>
      <w:sdtContent>
        <w:p w14:paraId="722BEE0E" w14:textId="77777777" w:rsidR="00B14F43" w:rsidRDefault="00000000">
          <w:pPr>
            <w:pStyle w:val="LO-normal"/>
          </w:pPr>
          <w:r>
            <w:t xml:space="preserve">Pre-existing identifiers should be referenced without modifications (see </w:t>
          </w:r>
          <w:r>
            <w:rPr>
              <w:b/>
            </w:rPr>
            <w:t>Rule 10</w:t>
          </w:r>
          <w:r>
            <w:t xml:space="preserve">). However, when new local identifiers are necessary, there are some design decisions that can facilitate their use in diverse contexts (spreadsheets, other databases, web applications, publications, etc.). </w:t>
          </w:r>
        </w:p>
      </w:sdtContent>
    </w:sdt>
    <w:sdt>
      <w:sdtPr>
        <w:tag w:val="ox:5e06f096-9dbe-521d-9b73-6c6870c72079"/>
        <w:id w:val="1282083638"/>
      </w:sdtPr>
      <w:sdtContent>
        <w:p w14:paraId="1A587404" w14:textId="77777777" w:rsidR="00B14F43" w:rsidRDefault="00000000">
          <w:pPr>
            <w:pStyle w:val="LO-normal"/>
          </w:pPr>
          <w:r>
            <w:t xml:space="preserve">We use the term </w:t>
          </w:r>
          <w:r>
            <w:rPr>
              <w:rFonts w:ascii="Consolas" w:hAnsi="Consolas"/>
            </w:rPr>
            <w:t xml:space="preserve">Local Resource </w:t>
          </w:r>
          <w:proofErr w:type="gramStart"/>
          <w:r>
            <w:rPr>
              <w:rFonts w:ascii="Consolas" w:hAnsi="Consolas"/>
            </w:rPr>
            <w:t>Identifier</w:t>
          </w:r>
          <w:r>
            <w:t>[</w:t>
          </w:r>
          <w:proofErr w:type="gramEnd"/>
          <w:r>
            <w:fldChar w:fldCharType="begin"/>
          </w:r>
          <w:r>
            <w:instrText xml:space="preserve"> HYPERLINK \h </w:instrText>
          </w:r>
          <w:r>
            <w:fldChar w:fldCharType="separate"/>
          </w:r>
          <w:r>
            <w:t>8</w:t>
          </w:r>
          <w:r>
            <w:fldChar w:fldCharType="end"/>
          </w:r>
          <w:r>
            <w:t>] (</w:t>
          </w:r>
          <w:r>
            <w:rPr>
              <w:rFonts w:ascii="Consolas" w:hAnsi="Consolas"/>
            </w:rPr>
            <w:t>LRI</w:t>
          </w:r>
          <w:r>
            <w:t xml:space="preserve">, </w:t>
          </w:r>
          <w:r>
            <w:rPr>
              <w:b/>
            </w:rPr>
            <w:t>Box 2</w:t>
          </w:r>
          <w:r>
            <w:t xml:space="preserve">) to mean a publicly available identifier that is unique within a single dataset. </w:t>
          </w:r>
          <w:r>
            <w:rPr>
              <w:rFonts w:ascii="Consolas" w:hAnsi="Consolas"/>
            </w:rPr>
            <w:t>Local Resource Identifiers</w:t>
          </w:r>
          <w:r>
            <w:t>:</w:t>
          </w:r>
        </w:p>
      </w:sdtContent>
    </w:sdt>
    <w:sdt>
      <w:sdtPr>
        <w:tag w:val="ox:2268ae80-fb1b-5f53-b0d3-0c44477e2ef4"/>
        <w:id w:val="1543631152"/>
      </w:sdtPr>
      <w:sdtContent>
        <w:p w14:paraId="4E678AB4" w14:textId="77777777" w:rsidR="00B14F43" w:rsidRDefault="00000000">
          <w:pPr>
            <w:pStyle w:val="LO-normal"/>
            <w:numPr>
              <w:ilvl w:val="0"/>
              <w:numId w:val="2"/>
            </w:numPr>
            <w:contextualSpacing/>
          </w:pPr>
          <w:r>
            <w:t>Must comprise only printable ASCII characters without whitespace. This guards against corruption and mistranscription in many contexts.</w:t>
          </w:r>
        </w:p>
      </w:sdtContent>
    </w:sdt>
    <w:sdt>
      <w:sdtPr>
        <w:tag w:val="ox:8325cd94-e511-59f0-8a85-00d633b98d2c"/>
        <w:id w:val="579259472"/>
      </w:sdtPr>
      <w:sdtContent>
        <w:p w14:paraId="7540FFA4" w14:textId="77777777" w:rsidR="00B14F43" w:rsidRDefault="00000000">
          <w:pPr>
            <w:pStyle w:val="LO-normal"/>
            <w:numPr>
              <w:ilvl w:val="0"/>
              <w:numId w:val="2"/>
            </w:numPr>
            <w:contextualSpacing/>
          </w:pPr>
          <w:r>
            <w:t>Should contain both letters and numbers. This avoids misinterpretation as numeric data (e.g. truncation of leading zeros in spreadsheets).</w:t>
          </w:r>
        </w:p>
      </w:sdtContent>
    </w:sdt>
    <w:sdt>
      <w:sdtPr>
        <w:tag w:val="ox:1b2c3f3f-4856-58c3-a1f5-8e76346aa35c"/>
        <w:id w:val="2071455443"/>
      </w:sdtPr>
      <w:sdtContent>
        <w:p w14:paraId="599C3821" w14:textId="77777777" w:rsidR="00B14F43" w:rsidRDefault="00000000">
          <w:pPr>
            <w:pStyle w:val="LO-normal"/>
            <w:numPr>
              <w:ilvl w:val="0"/>
              <w:numId w:val="2"/>
            </w:numPr>
            <w:contextualSpacing/>
          </w:pPr>
          <w:r>
            <w:t>Should avoid problem patterns; this avoids misinterpretation whether as dates, exponents in spreadsheets [</w:t>
          </w:r>
          <w:hyperlink r:id="rId16" w:history="1">
            <w:r>
              <w:rPr>
                <w:color w:val="1155CC"/>
                <w:u w:val="single"/>
              </w:rPr>
              <w:t>9</w:t>
            </w:r>
          </w:hyperlink>
          <w:r>
            <w:t>], or unintended words.</w:t>
          </w:r>
        </w:p>
      </w:sdtContent>
    </w:sdt>
    <w:sdt>
      <w:sdtPr>
        <w:tag w:val="ox:588a7aa8-b3f6-57ec-8c56-7fcb044d3fbb"/>
        <w:id w:val="-2019683300"/>
      </w:sdtPr>
      <w:sdtContent>
        <w:p w14:paraId="59222613" w14:textId="77777777" w:rsidR="00B14F43" w:rsidRDefault="00000000">
          <w:pPr>
            <w:pStyle w:val="LO-normal"/>
            <w:numPr>
              <w:ilvl w:val="0"/>
              <w:numId w:val="2"/>
            </w:numPr>
            <w:contextualSpacing/>
          </w:pPr>
          <w:r>
            <w:t>Should adhere to a fixed, documented case convention, preferably one that is case insensitive; this avoids accidental collisions.</w:t>
          </w:r>
        </w:p>
      </w:sdtContent>
    </w:sdt>
    <w:sdt>
      <w:sdtPr>
        <w:tag w:val="ox:d33cd6c1-75fe-5524-8cf1-0372ee819a71"/>
        <w:id w:val="-718821135"/>
      </w:sdtPr>
      <w:sdtContent>
        <w:p w14:paraId="0E1B89D0" w14:textId="77777777" w:rsidR="00B14F43" w:rsidRDefault="00000000">
          <w:pPr>
            <w:pStyle w:val="LO-normal"/>
            <w:numPr>
              <w:ilvl w:val="0"/>
              <w:numId w:val="2"/>
            </w:numPr>
            <w:contextualSpacing/>
          </w:pPr>
          <w:r>
            <w:t xml:space="preserve">Must adhere to a formal pattern (regular expression); this facilitates but does not guarantee validation and retrieval from scientific text. Consider a fixed length of 8-16 characters (according to the anticipated number of required LRIs). A pattern may be extended if all available identifiers are issued, but existing identifiers must not be changed. To minimize global LRI collisions, it is considerate to tightly specify your pattern (e.g. using two or more fixed letters at the start). </w:t>
          </w:r>
        </w:p>
      </w:sdtContent>
    </w:sdt>
    <w:sdt>
      <w:sdtPr>
        <w:tag w:val="ox:ddcaa4ad-f5a4-5442-b3b5-f449a4b82461"/>
        <w:id w:val="-1894958281"/>
      </w:sdtPr>
      <w:sdtContent>
        <w:p w14:paraId="51829B0C" w14:textId="77777777" w:rsidR="00B14F43" w:rsidRDefault="00000000">
          <w:pPr>
            <w:pStyle w:val="LO-normal"/>
            <w:numPr>
              <w:ilvl w:val="0"/>
              <w:numId w:val="2"/>
            </w:numPr>
            <w:contextualSpacing/>
          </w:pPr>
          <w:r>
            <w:t xml:space="preserve">Should ideally not contain ‘.’ except to denote version where appropriate (see </w:t>
          </w:r>
          <w:r>
            <w:rPr>
              <w:b/>
            </w:rPr>
            <w:t>Rule 7</w:t>
          </w:r>
          <w:r>
            <w:t>)</w:t>
          </w:r>
        </w:p>
      </w:sdtContent>
    </w:sdt>
    <w:sdt>
      <w:sdtPr>
        <w:tag w:val="ox:b08d3b48-21d7-58a6-856e-dec23987132a"/>
        <w:id w:val="105012473"/>
      </w:sdtPr>
      <w:sdtContent>
        <w:p w14:paraId="1A82F4D4" w14:textId="77777777" w:rsidR="00B14F43" w:rsidRDefault="00000000">
          <w:pPr>
            <w:pStyle w:val="LO-normal"/>
            <w:ind w:hanging="360"/>
            <w:contextualSpacing/>
          </w:pPr>
        </w:p>
      </w:sdtContent>
    </w:sdt>
    <w:sdt>
      <w:sdtPr>
        <w:tag w:val="ox:aefc2724-f8da-506e-98ed-49c5f6a61123"/>
        <w:id w:val="384459145"/>
      </w:sdtPr>
      <w:sdtContent>
        <w:p w14:paraId="2CF717D9" w14:textId="77777777" w:rsidR="00B14F43" w:rsidRDefault="00000000">
          <w:pPr>
            <w:pStyle w:val="LO-normal"/>
          </w:pPr>
          <w:r>
            <w:t>Two small considerations also make LRIs well suited for others to use in user-friendly compact notation and semantic web. We therefore recommend that LRIs:</w:t>
          </w:r>
        </w:p>
      </w:sdtContent>
    </w:sdt>
    <w:sdt>
      <w:sdtPr>
        <w:tag w:val="ox:a7ce6bdb-349f-5927-b0d6-b0a47bebb0c2"/>
        <w:id w:val="582037002"/>
      </w:sdtPr>
      <w:sdtContent>
        <w:p w14:paraId="1E5AA777" w14:textId="77777777" w:rsidR="00B14F43" w:rsidRDefault="00000000">
          <w:pPr>
            <w:pStyle w:val="LO-normal"/>
            <w:numPr>
              <w:ilvl w:val="0"/>
              <w:numId w:val="2"/>
            </w:numPr>
            <w:contextualSpacing/>
          </w:pPr>
          <w:r>
            <w:t xml:space="preserve">Should not contain ‘:’, a reserved character for CURIE parsing </w:t>
          </w:r>
          <w:r>
            <w:rPr>
              <w:b/>
            </w:rPr>
            <w:t>(Box 2)</w:t>
          </w:r>
        </w:p>
      </w:sdtContent>
    </w:sdt>
    <w:sdt>
      <w:sdtPr>
        <w:tag w:val="ox:c7c8df30-b699-5312-a9a0-6ff907f2a73f"/>
        <w:id w:val="-1930185399"/>
      </w:sdtPr>
      <w:sdtContent>
        <w:p w14:paraId="16D74C96" w14:textId="77777777" w:rsidR="00B14F43" w:rsidRDefault="00000000">
          <w:pPr>
            <w:pStyle w:val="LO-normal"/>
            <w:numPr>
              <w:ilvl w:val="0"/>
              <w:numId w:val="2"/>
            </w:numPr>
            <w:contextualSpacing/>
          </w:pPr>
          <w:r>
            <w:t xml:space="preserve">If additional delimiters (other than ‘:’ and ‘.’) are needed, prefer ‘-’. This guards against certain </w:t>
          </w:r>
          <w:r>
            <w:rPr>
              <w:rFonts w:ascii="Consolas" w:hAnsi="Consolas"/>
            </w:rPr>
            <w:t>CURIE</w:t>
          </w:r>
          <w:r>
            <w:t xml:space="preserve"> parsers splitting inappropriately.</w:t>
          </w:r>
        </w:p>
      </w:sdtContent>
    </w:sdt>
    <w:sdt>
      <w:sdtPr>
        <w:tag w:val="ox:c804f5f8-a77b-54b6-840b-dc7cca8c6659"/>
        <w:id w:val="573861815"/>
      </w:sdtPr>
      <w:sdtContent>
        <w:p w14:paraId="5CA1CD7D" w14:textId="77777777" w:rsidR="00B14F43" w:rsidRDefault="00000000">
          <w:pPr>
            <w:pStyle w:val="Heading2"/>
            <w:contextualSpacing w:val="0"/>
          </w:pPr>
          <w:r>
            <w:t>Rule 3: Help local identifiers travel well by documenting Prefix and Namespace</w:t>
          </w:r>
        </w:p>
      </w:sdtContent>
    </w:sdt>
    <w:sdt>
      <w:sdtPr>
        <w:tag w:val="ox:1c3677f8-c9ec-568d-b160-9bbaafc770ed"/>
        <w:id w:val="495543430"/>
      </w:sdtPr>
      <w:sdtContent>
        <w:p w14:paraId="46551AB0" w14:textId="77777777" w:rsidR="00B14F43" w:rsidRDefault="00000000">
          <w:pPr>
            <w:pStyle w:val="LO-normal"/>
          </w:pPr>
          <w:r>
            <w:t>Data does not live in silos: it is reused, broken into parts and integrated with other data, most notably in database external references (aka “</w:t>
          </w:r>
          <w:proofErr w:type="spellStart"/>
          <w:r>
            <w:t>XRefs</w:t>
          </w:r>
          <w:proofErr w:type="spellEnd"/>
          <w:r>
            <w:t>”), in the Semantic Web, and in publications (articles and research datasets). The Local Resource Identifier (</w:t>
          </w:r>
          <w:r>
            <w:rPr>
              <w:b/>
            </w:rPr>
            <w:t>Box 2</w:t>
          </w:r>
          <w:r>
            <w:t xml:space="preserve">) alone is insufficient for these tasks because it is only guaranteed to be locally unique. For instance, the LRI “9606” corresponds to numerous entities whose local accessions are based on simple digits, including: a </w:t>
          </w:r>
          <w:hyperlink r:id="rId17" w:history="1">
            <w:proofErr w:type="spellStart"/>
            <w:r>
              <w:rPr>
                <w:color w:val="1155CC"/>
                <w:u w:val="single"/>
              </w:rPr>
              <w:t>Pubmed</w:t>
            </w:r>
            <w:proofErr w:type="spellEnd"/>
            <w:r>
              <w:rPr>
                <w:color w:val="1155CC"/>
                <w:u w:val="single"/>
              </w:rPr>
              <w:t xml:space="preserve"> article</w:t>
            </w:r>
          </w:hyperlink>
          <w:r>
            <w:t xml:space="preserve">, a </w:t>
          </w:r>
          <w:hyperlink r:id="rId18" w:history="1">
            <w:r>
              <w:rPr>
                <w:color w:val="1155CC"/>
                <w:u w:val="single"/>
              </w:rPr>
              <w:t>CGNC gene</w:t>
            </w:r>
          </w:hyperlink>
          <w:r>
            <w:t xml:space="preserve">, a </w:t>
          </w:r>
          <w:hyperlink r:id="rId19" w:history="1">
            <w:r>
              <w:rPr>
                <w:color w:val="1155CC"/>
                <w:u w:val="single"/>
              </w:rPr>
              <w:t>PubChem chemical</w:t>
            </w:r>
          </w:hyperlink>
          <w:r>
            <w:t xml:space="preserve">, as well as an </w:t>
          </w:r>
          <w:hyperlink r:id="rId20" w:history="1">
            <w:r>
              <w:rPr>
                <w:color w:val="1155CC"/>
                <w:u w:val="single"/>
              </w:rPr>
              <w:t>NCBI taxon</w:t>
            </w:r>
          </w:hyperlink>
          <w:r>
            <w:t xml:space="preserve">, a </w:t>
          </w:r>
          <w:hyperlink r:id="rId21" w:history="1">
            <w:r>
              <w:rPr>
                <w:color w:val="1155CC"/>
                <w:u w:val="single"/>
              </w:rPr>
              <w:t>BOLD taxon</w:t>
            </w:r>
          </w:hyperlink>
          <w:r>
            <w:t xml:space="preserve">, and a </w:t>
          </w:r>
          <w:hyperlink r:id="rId22" w:history="1">
            <w:r>
              <w:rPr>
                <w:color w:val="1155CC"/>
                <w:u w:val="single"/>
              </w:rPr>
              <w:t>GRIN taxon</w:t>
            </w:r>
          </w:hyperlink>
          <w:r>
            <w:t xml:space="preserve">. </w:t>
          </w:r>
        </w:p>
      </w:sdtContent>
    </w:sdt>
    <w:sdt>
      <w:sdtPr>
        <w:tag w:val="ox:a66d2def-3c39-57e5-8256-f78ac2d48c33"/>
        <w:id w:val="-1366211847"/>
      </w:sdtPr>
      <w:sdtContent>
        <w:p w14:paraId="49EDA974" w14:textId="77777777" w:rsidR="00B14F43" w:rsidRDefault="00000000">
          <w:pPr>
            <w:pStyle w:val="LO-normal"/>
          </w:pPr>
        </w:p>
      </w:sdtContent>
    </w:sdt>
    <w:sdt>
      <w:sdtPr>
        <w:tag w:val="ox:0598d535-8c31-5886-84ad-b228d1d63eb3"/>
        <w:id w:val="-1681183999"/>
      </w:sdtPr>
      <w:sdtContent>
        <w:p w14:paraId="3D8AA6F9" w14:textId="77777777" w:rsidR="00B14F43" w:rsidRDefault="00000000">
          <w:pPr>
            <w:pStyle w:val="LO-normal"/>
          </w:pPr>
          <w:r>
            <w:t>Despite its vulnerabilities, the location-based identifier scheme (</w:t>
          </w:r>
          <w:r>
            <w:rPr>
              <w:rFonts w:ascii="Consolas" w:hAnsi="Consolas"/>
            </w:rPr>
            <w:t xml:space="preserve">URI, </w:t>
          </w:r>
          <w:r>
            <w:t>Box 2) is the best available identifier form for machine-driven global data integration because it is a) widely adopted and b) its uniqueness is ensured by a single well-established name-granting process (</w:t>
          </w:r>
          <w:hyperlink r:id="rId23" w:history="1">
            <w:r>
              <w:rPr>
                <w:rFonts w:ascii="Consolas" w:hAnsi="Consolas"/>
                <w:color w:val="1155CC"/>
                <w:u w:val="single"/>
              </w:rPr>
              <w:t>DNS</w:t>
            </w:r>
          </w:hyperlink>
          <w:r>
            <w:t xml:space="preserve">). </w:t>
          </w:r>
          <w:proofErr w:type="spellStart"/>
          <w:r>
            <w:t>Juty</w:t>
          </w:r>
          <w:proofErr w:type="spellEnd"/>
          <w:r>
            <w:t xml:space="preserve"> et al. [</w:t>
          </w:r>
          <w:hyperlink r:id="rId24" w:history="1">
            <w:r>
              <w:rPr>
                <w:color w:val="1155CC"/>
                <w:u w:val="single"/>
              </w:rPr>
              <w:t>10</w:t>
            </w:r>
          </w:hyperlink>
          <w:r>
            <w:t xml:space="preserve">] summarise why name-based global identifier schemes (e.g. </w:t>
          </w:r>
          <w:r>
            <w:rPr>
              <w:rFonts w:ascii="Consolas" w:hAnsi="Consolas"/>
            </w:rPr>
            <w:t>URNs</w:t>
          </w:r>
          <w:r>
            <w:t xml:space="preserve">) have had poor uptake by comparison. </w:t>
          </w:r>
        </w:p>
      </w:sdtContent>
    </w:sdt>
    <w:sdt>
      <w:sdtPr>
        <w:tag w:val="ox:fb9e9c93-edb9-5299-a238-9eef47bdf9e7"/>
        <w:id w:val="548109636"/>
      </w:sdtPr>
      <w:sdtContent>
        <w:p w14:paraId="0B348483" w14:textId="77777777" w:rsidR="00B14F43" w:rsidRDefault="00000000">
          <w:pPr>
            <w:pStyle w:val="LO-normal"/>
          </w:pPr>
          <w:r>
            <w:tab/>
            <w:t xml:space="preserve"> </w:t>
          </w:r>
          <w:r>
            <w:tab/>
            <w:t xml:space="preserve"> </w:t>
          </w:r>
          <w:r>
            <w:tab/>
          </w:r>
        </w:p>
      </w:sdtContent>
    </w:sdt>
    <w:sdt>
      <w:sdtPr>
        <w:tag w:val="ox:f0c5f4fd-bc25-5ce3-9181-5bc43d70b490"/>
        <w:id w:val="-146131161"/>
      </w:sdtPr>
      <w:sdtContent>
        <w:p w14:paraId="78CC5833" w14:textId="77777777" w:rsidR="00B14F43" w:rsidRDefault="00000000">
          <w:pPr>
            <w:pStyle w:val="LO-normal"/>
          </w:pPr>
          <w:r>
            <w:t xml:space="preserve">The length of </w:t>
          </w:r>
          <w:r>
            <w:rPr>
              <w:rFonts w:ascii="Consolas" w:hAnsi="Consolas"/>
            </w:rPr>
            <w:t>URIs</w:t>
          </w:r>
          <w:r>
            <w:t xml:space="preserve"> (</w:t>
          </w:r>
          <w:r>
            <w:rPr>
              <w:b/>
            </w:rPr>
            <w:t>Box 2</w:t>
          </w:r>
          <w:r>
            <w:t>) can make them unwieldy for tasks involving human readability, even within structured machine-</w:t>
          </w:r>
          <w:proofErr w:type="spellStart"/>
          <w:r>
            <w:t>parsable</w:t>
          </w:r>
          <w:proofErr w:type="spellEnd"/>
          <w:r>
            <w:t xml:space="preserve"> </w:t>
          </w:r>
          <w:proofErr w:type="gramStart"/>
          <w:r>
            <w:t>documents[</w:t>
          </w:r>
          <w:proofErr w:type="gramEnd"/>
          <w:r>
            <w:fldChar w:fldCharType="begin"/>
          </w:r>
          <w:r>
            <w:instrText xml:space="preserve"> HYPERLINK \h </w:instrText>
          </w:r>
          <w:r>
            <w:fldChar w:fldCharType="separate"/>
          </w:r>
          <w:r>
            <w:t>11</w:t>
          </w:r>
          <w:r>
            <w:fldChar w:fldCharType="end"/>
          </w:r>
          <w:r>
            <w:t xml:space="preserve">]. </w:t>
          </w:r>
          <w:r>
            <w:rPr>
              <w:rFonts w:ascii="Consolas" w:hAnsi="Consolas"/>
            </w:rPr>
            <w:t>Compact URIs (</w:t>
          </w:r>
          <w:proofErr w:type="gramStart"/>
          <w:r>
            <w:rPr>
              <w:rFonts w:ascii="Consolas" w:hAnsi="Consolas"/>
            </w:rPr>
            <w:t>CURIEs</w:t>
          </w:r>
          <w:r>
            <w:t>[</w:t>
          </w:r>
          <w:proofErr w:type="gramEnd"/>
          <w:r>
            <w:fldChar w:fldCharType="begin"/>
          </w:r>
          <w:r>
            <w:instrText xml:space="preserve"> HYPERLINK \h </w:instrText>
          </w:r>
          <w:r>
            <w:fldChar w:fldCharType="separate"/>
          </w:r>
          <w:r>
            <w:t>12</w:t>
          </w:r>
          <w:r>
            <w:fldChar w:fldCharType="end"/>
          </w:r>
          <w:r>
            <w:t xml:space="preserve">], Box 1) are a </w:t>
          </w:r>
          <w:proofErr w:type="spellStart"/>
          <w:proofErr w:type="gramStart"/>
          <w:r>
            <w:t>well established</w:t>
          </w:r>
          <w:proofErr w:type="spellEnd"/>
          <w:proofErr w:type="gramEnd"/>
          <w:r>
            <w:t xml:space="preserve"> convention in such contexts (e.g. </w:t>
          </w:r>
          <w:r>
            <w:rPr>
              <w:rFonts w:ascii="Consolas" w:hAnsi="Consolas"/>
            </w:rPr>
            <w:t>JSON-LD</w:t>
          </w:r>
          <w:r>
            <w:t xml:space="preserve"> and </w:t>
          </w:r>
          <w:proofErr w:type="spellStart"/>
          <w:r>
            <w:rPr>
              <w:rFonts w:ascii="Consolas" w:hAnsi="Consolas"/>
            </w:rPr>
            <w:t>RDFa</w:t>
          </w:r>
          <w:proofErr w:type="spellEnd"/>
          <w:r>
            <w:t xml:space="preserve">) as they enable </w:t>
          </w:r>
          <w:r>
            <w:rPr>
              <w:rFonts w:ascii="Consolas" w:hAnsi="Consolas"/>
            </w:rPr>
            <w:t>URIs</w:t>
          </w:r>
          <w:r>
            <w:t xml:space="preserve"> to be understood and conveniently accessed. </w:t>
          </w:r>
          <w:r>
            <w:rPr>
              <w:rFonts w:ascii="Consolas" w:hAnsi="Consolas"/>
            </w:rPr>
            <w:t>CURIEs</w:t>
          </w:r>
          <w:r>
            <w:t xml:space="preserve"> complement URIs, rather than replace them. </w:t>
          </w:r>
          <w:proofErr w:type="gramStart"/>
          <w:r>
            <w:t>Therefore</w:t>
          </w:r>
          <w:proofErr w:type="gramEnd"/>
          <w:r>
            <w:t xml:space="preserve"> document the prefix which others may use to abbreviate your identifiers for human readability, wherever needed. If you are a database provider, it is in your best interests to document a) the </w:t>
          </w:r>
          <w:r>
            <w:rPr>
              <w:rFonts w:ascii="Consolas" w:hAnsi="Consolas"/>
            </w:rPr>
            <w:t>prefix</w:t>
          </w:r>
          <w:r>
            <w:t xml:space="preserve"> (</w:t>
          </w:r>
          <w:r>
            <w:rPr>
              <w:b/>
            </w:rPr>
            <w:t>Box 2</w:t>
          </w:r>
          <w:r>
            <w:t xml:space="preserve">) that you would like others to use and b) its binding to a </w:t>
          </w:r>
          <w:r>
            <w:rPr>
              <w:rFonts w:ascii="Consolas" w:hAnsi="Consolas"/>
            </w:rPr>
            <w:t>resolving namespace</w:t>
          </w:r>
          <w:r>
            <w:t xml:space="preserve"> (</w:t>
          </w:r>
          <w:r>
            <w:rPr>
              <w:b/>
            </w:rPr>
            <w:t>Box 2</w:t>
          </w:r>
          <w:r>
            <w:t xml:space="preserve">). Your chosen prefix should be unique, at least among datasets that are likely to be used in the same context. To facilitate this, we strongly recommend that you register your </w:t>
          </w:r>
          <w:r>
            <w:rPr>
              <w:rFonts w:ascii="Consolas" w:hAnsi="Consolas"/>
            </w:rPr>
            <w:t>prefix</w:t>
          </w:r>
          <w:r>
            <w:t xml:space="preserve"> and </w:t>
          </w:r>
          <w:r>
            <w:rPr>
              <w:rFonts w:ascii="Consolas" w:hAnsi="Consolas"/>
            </w:rPr>
            <w:t xml:space="preserve">resolving namespace; </w:t>
          </w:r>
          <w:r>
            <w:rPr>
              <w:b/>
            </w:rPr>
            <w:t>Table S3</w:t>
          </w:r>
          <w:r>
            <w:t xml:space="preserve"> contains a list of registries that may be suitable depending on the kind of data. </w:t>
          </w:r>
        </w:p>
      </w:sdtContent>
    </w:sdt>
    <w:sdt>
      <w:sdtPr>
        <w:tag w:val="ox:b710c870-2018-5df6-883d-2e6f7cdbbfc8"/>
        <w:id w:val="633611520"/>
      </w:sdtPr>
      <w:sdtContent>
        <w:p w14:paraId="526088B9" w14:textId="77777777" w:rsidR="00B14F43" w:rsidRDefault="00000000">
          <w:pPr>
            <w:pStyle w:val="LO-normal"/>
          </w:pPr>
        </w:p>
      </w:sdtContent>
    </w:sdt>
    <w:sdt>
      <w:sdtPr>
        <w:tag w:val="ox:06a79659-6cae-5b7e-b61f-107eb4447734"/>
        <w:id w:val="-1357038035"/>
      </w:sdtPr>
      <w:sdtContent>
        <w:p w14:paraId="5C6A0622" w14:textId="77777777" w:rsidR="00B14F43" w:rsidRDefault="00000000"/>
      </w:sdtContent>
    </w:sdt>
    <w:sdt>
      <w:sdtPr>
        <w:tag w:val="ox:a794afa1-3712-5ab7-a093-ed765e63f700"/>
        <w:id w:val="-1645119055"/>
      </w:sdtPr>
      <w:sdtContent>
        <w:p w14:paraId="6A7A39E4" w14:textId="77777777" w:rsidR="00B14F43" w:rsidRDefault="00000000">
          <w:pPr>
            <w:pStyle w:val="LO-normal"/>
            <w:pageBreakBefore/>
          </w:pPr>
          <w:r>
            <w:rPr>
              <w:b/>
            </w:rPr>
            <w:t>Box 2. Local and Global Identifier Terminology</w:t>
          </w:r>
        </w:p>
      </w:sdtContent>
    </w:sdt>
    <w:tbl>
      <w:tblPr>
        <w:tblW w:w="0" w:type="auto"/>
        <w:tblInd w:w="82"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00" w:type="dxa"/>
          <w:left w:w="90" w:type="dxa"/>
          <w:bottom w:w="100" w:type="dxa"/>
          <w:right w:w="100" w:type="dxa"/>
        </w:tblCellMar>
        <w:tblLook w:val="0000" w:firstRow="0" w:lastRow="0" w:firstColumn="0" w:lastColumn="0" w:noHBand="0" w:noVBand="0"/>
      </w:tblPr>
      <w:tblGrid>
        <w:gridCol w:w="9872"/>
      </w:tblGrid>
      <w:tr w:rsidR="00B14F43" w14:paraId="0D73ACEF" w14:textId="77777777">
        <w:tc>
          <w:tcPr>
            <w:tcW w:w="9923" w:type="dxa"/>
            <w:tcBorders>
              <w:top w:val="single" w:sz="8" w:space="0" w:color="666666"/>
              <w:left w:val="single" w:sz="8" w:space="0" w:color="666666"/>
              <w:bottom w:val="single" w:sz="8" w:space="0" w:color="666666"/>
              <w:right w:val="single" w:sz="8" w:space="0" w:color="666666"/>
            </w:tcBorders>
            <w:tcMar>
              <w:top w:w="0" w:type="dxa"/>
              <w:left w:w="90" w:type="dxa"/>
              <w:bottom w:w="0" w:type="dxa"/>
              <w:right w:w="0" w:type="dxa"/>
            </w:tcMar>
          </w:tcPr>
          <w:sdt>
            <w:sdtPr>
              <w:tag w:val="ox:24f67ce6-d3c7-5e23-ad6e-8e366f95100b"/>
              <w:id w:val="-658540072"/>
            </w:sdtPr>
            <w:sdtContent>
              <w:p w14:paraId="6E0BBD1D" w14:textId="77777777" w:rsidR="00B14F43" w:rsidRDefault="00000000">
                <w:pPr>
                  <w:spacing w:after="60" w:line="210" w:lineRule="exact"/>
                  <w:rPr>
                    <w:sz w:val="20"/>
                    <w:szCs w:val="20"/>
                  </w:rPr>
                </w:pPr>
                <w:r>
                  <w:rPr>
                    <w:sz w:val="20"/>
                    <w:szCs w:val="20"/>
                  </w:rPr>
                  <w:t xml:space="preserve">An identifier is a sequence of characters that identifies an entity. </w:t>
                </w:r>
              </w:p>
              <w:p w14:paraId="5362E0D8" w14:textId="77777777" w:rsidR="00B14F43" w:rsidRDefault="00000000">
                <w:pPr>
                  <w:numPr>
                    <w:ilvl w:val="0"/>
                    <w:numId w:val="2"/>
                  </w:numPr>
                  <w:spacing w:after="60" w:line="210" w:lineRule="exact"/>
                  <w:rPr>
                    <w:sz w:val="20"/>
                    <w:szCs w:val="20"/>
                  </w:rPr>
                </w:pPr>
                <w:r>
                  <w:rPr>
                    <w:sz w:val="20"/>
                    <w:szCs w:val="20"/>
                  </w:rPr>
                  <w:t xml:space="preserve">Local Resource Identifier (LRI) is an identifier that is unique within the scope of a single database. </w:t>
                </w:r>
              </w:p>
              <w:p w14:paraId="13589A1C" w14:textId="77777777" w:rsidR="00B14F43" w:rsidRDefault="00000000">
                <w:pPr>
                  <w:numPr>
                    <w:ilvl w:val="1"/>
                    <w:numId w:val="3"/>
                  </w:numPr>
                  <w:spacing w:after="60" w:line="210" w:lineRule="exact"/>
                  <w:rPr>
                    <w:sz w:val="20"/>
                    <w:szCs w:val="20"/>
                  </w:rPr>
                </w:pPr>
                <w:r>
                  <w:rPr>
                    <w:sz w:val="20"/>
                    <w:szCs w:val="20"/>
                  </w:rPr>
                  <w:t xml:space="preserve">Databases and library systems often refer to the LRI as an ‘Accession Number’. </w:t>
                </w:r>
              </w:p>
              <w:p w14:paraId="491CDD44" w14:textId="77777777" w:rsidR="00B14F43" w:rsidRDefault="00000000">
                <w:pPr>
                  <w:numPr>
                    <w:ilvl w:val="1"/>
                    <w:numId w:val="3"/>
                  </w:numPr>
                  <w:spacing w:after="60" w:line="210" w:lineRule="exact"/>
                  <w:rPr>
                    <w:sz w:val="20"/>
                    <w:szCs w:val="20"/>
                  </w:rPr>
                </w:pPr>
                <w:r>
                  <w:rPr>
                    <w:sz w:val="20"/>
                    <w:szCs w:val="20"/>
                  </w:rPr>
                  <w:t xml:space="preserve">LRI formats vary by provider and may have subparts; </w:t>
                </w:r>
                <w:proofErr w:type="gramStart"/>
                <w:r>
                  <w:rPr>
                    <w:sz w:val="20"/>
                    <w:szCs w:val="20"/>
                  </w:rPr>
                  <w:t>however</w:t>
                </w:r>
                <w:proofErr w:type="gramEnd"/>
                <w:r>
                  <w:rPr>
                    <w:sz w:val="20"/>
                    <w:szCs w:val="20"/>
                  </w:rPr>
                  <w:t xml:space="preserve"> subparts are non-uniform and therefore not described here. For example, a LRI may be opaque (e.g. A0A022YWF9) or recognizable (e.g. ZDB-GENE-980526-388)</w:t>
                </w:r>
              </w:p>
              <w:p w14:paraId="73616346" w14:textId="77777777" w:rsidR="00B14F43" w:rsidRDefault="00000000">
                <w:pPr>
                  <w:numPr>
                    <w:ilvl w:val="0"/>
                    <w:numId w:val="2"/>
                  </w:numPr>
                  <w:spacing w:after="60" w:line="210" w:lineRule="exact"/>
                  <w:rPr>
                    <w:sz w:val="20"/>
                    <w:szCs w:val="20"/>
                  </w:rPr>
                </w:pPr>
                <w:r>
                  <w:rPr>
                    <w:sz w:val="20"/>
                    <w:szCs w:val="20"/>
                  </w:rPr>
                  <w:t>Global identifier is an identifier that is guaranteed to be globally unique</w:t>
                </w:r>
              </w:p>
              <w:p w14:paraId="7A2A7202" w14:textId="77777777" w:rsidR="00B14F43" w:rsidRDefault="00000000">
                <w:pPr>
                  <w:numPr>
                    <w:ilvl w:val="1"/>
                    <w:numId w:val="3"/>
                  </w:numPr>
                  <w:spacing w:after="60" w:line="210" w:lineRule="exact"/>
                  <w:rPr>
                    <w:sz w:val="20"/>
                    <w:szCs w:val="20"/>
                  </w:rPr>
                </w:pPr>
                <w:r>
                  <w:rPr>
                    <w:sz w:val="20"/>
                    <w:szCs w:val="20"/>
                  </w:rPr>
                  <w:t xml:space="preserve">Uniform Resource Identifier (URI) is an identifier that is uniform; it is an ASCII string that uniquely identifies a resource. In this paper, by URI we mean only those URIs of type HTTP, HTTPS, FTP, etc. that </w:t>
                </w:r>
                <w:proofErr w:type="gramStart"/>
                <w:r>
                  <w:rPr>
                    <w:sz w:val="20"/>
                    <w:szCs w:val="20"/>
                  </w:rPr>
                  <w:t>actually resolve</w:t>
                </w:r>
                <w:proofErr w:type="gramEnd"/>
                <w:r>
                  <w:rPr>
                    <w:sz w:val="20"/>
                    <w:szCs w:val="20"/>
                  </w:rPr>
                  <w:t xml:space="preserve"> to (provide or redirect to) a webpage containing information about the identified entity. An example of a URI is http://zfin.org/ZDB-GENE-980526-388. </w:t>
                </w:r>
              </w:p>
              <w:p w14:paraId="4964A10D" w14:textId="77777777" w:rsidR="00B14F43" w:rsidRDefault="00000000">
                <w:pPr>
                  <w:numPr>
                    <w:ilvl w:val="1"/>
                    <w:numId w:val="3"/>
                  </w:numPr>
                  <w:spacing w:after="60" w:line="210" w:lineRule="exact"/>
                  <w:rPr>
                    <w:sz w:val="20"/>
                    <w:szCs w:val="20"/>
                  </w:rPr>
                </w:pPr>
                <w:r>
                  <w:rPr>
                    <w:sz w:val="20"/>
                    <w:szCs w:val="20"/>
                  </w:rPr>
                  <w:t xml:space="preserve">When referring to compact URIs (CURIES), we mean an identifier comprised of &lt;Prefix&gt;:&lt;LRI&gt; wherein prefix is deterministically expandable to a resolving namespace (see below) which alone is the basis for the CURIE’s global uniqueness. An example of a CURIE is </w:t>
                </w:r>
                <w:proofErr w:type="gramStart"/>
                <w:r>
                  <w:rPr>
                    <w:sz w:val="20"/>
                    <w:szCs w:val="20"/>
                  </w:rPr>
                  <w:t>ZFIN:ZDB</w:t>
                </w:r>
                <w:proofErr w:type="gramEnd"/>
                <w:r>
                  <w:rPr>
                    <w:sz w:val="20"/>
                    <w:szCs w:val="20"/>
                  </w:rPr>
                  <w:t>-GENE-980526-388</w:t>
                </w:r>
              </w:p>
              <w:p w14:paraId="34833FF9" w14:textId="77777777" w:rsidR="00B14F43" w:rsidRDefault="00000000">
                <w:pPr>
                  <w:numPr>
                    <w:ilvl w:val="0"/>
                    <w:numId w:val="2"/>
                  </w:numPr>
                  <w:spacing w:after="60" w:line="210" w:lineRule="exact"/>
                  <w:rPr>
                    <w:sz w:val="20"/>
                    <w:szCs w:val="20"/>
                  </w:rPr>
                </w:pPr>
                <w:r>
                  <w:rPr>
                    <w:sz w:val="20"/>
                    <w:szCs w:val="20"/>
                  </w:rPr>
                  <w:t>A resolving namespace is a se</w:t>
                </w:r>
                <w:r>
                  <w:rPr>
                    <w:sz w:val="20"/>
                    <w:szCs w:val="20"/>
                  </w:rPr>
                  <w:softHyphen/>
                  <w:t>quence of characters which, when prepended to the LRI, yields the URI. In the ZFIN example above, the prefix is ZFIN and the resolving namespace is http://zfin.org/</w:t>
                </w:r>
              </w:p>
              <w:p w14:paraId="2A39FB8A" w14:textId="77777777" w:rsidR="00B14F43" w:rsidRDefault="00000000">
                <w:pPr>
                  <w:spacing w:after="60" w:line="210" w:lineRule="exact"/>
                  <w:rPr>
                    <w:sz w:val="20"/>
                    <w:szCs w:val="20"/>
                  </w:rPr>
                </w:pPr>
                <w:r>
                  <w:rPr>
                    <w:sz w:val="20"/>
                    <w:szCs w:val="20"/>
                  </w:rPr>
                  <w:t>See also Fig 1 and glossary (Table S2) for additional terms and concepts.</w:t>
                </w:r>
              </w:p>
            </w:sdtContent>
          </w:sdt>
        </w:tc>
      </w:tr>
    </w:tbl>
    <w:sdt>
      <w:sdtPr>
        <w:tag w:val="ox:a80576a0-cc4d-519f-81db-8812866db805"/>
        <w:id w:val="-1339997976"/>
      </w:sdtPr>
      <w:sdtContent>
        <w:p w14:paraId="29BE1176" w14:textId="77777777" w:rsidR="00B14F43" w:rsidRDefault="00000000">
          <w:pPr>
            <w:pStyle w:val="LO-normal"/>
          </w:pPr>
        </w:p>
      </w:sdtContent>
    </w:sdt>
    <w:sdt>
      <w:sdtPr>
        <w:tag w:val="ox:83619c1e-89e0-504c-8332-95ffd374c462"/>
        <w:id w:val="1358931039"/>
      </w:sdtPr>
      <w:sdtContent>
        <w:p w14:paraId="7BB09E07" w14:textId="77777777" w:rsidR="00B14F43" w:rsidRDefault="00000000">
          <w:pPr>
            <w:pStyle w:val="LO-normal"/>
          </w:pPr>
          <w:r>
            <w:rPr>
              <w:b/>
            </w:rPr>
            <w:t>Table 1. Desirable characteristics for database identifiers in the life sciences</w:t>
          </w:r>
        </w:p>
      </w:sdtContent>
    </w:sdt>
    <w:sdt>
      <w:sdtPr>
        <w:tag w:val="ox:a666daf6-61df-5fc3-b500-ebc92f012b42"/>
        <w:id w:val="532998010"/>
      </w:sdtPr>
      <w:sdtContent>
        <w:tbl>
          <w:tblPr>
            <w:tblW w:w="0" w:type="auto"/>
            <w:tblInd w:w="-97" w:type="dxa"/>
            <w:tblBorders>
              <w:top w:val="single" w:sz="4" w:space="0" w:color="auto"/>
              <w:left w:val="single" w:sz="4" w:space="0" w:color="auto"/>
              <w:bottom w:val="single" w:sz="4" w:space="0" w:color="auto"/>
              <w:right w:val="single" w:sz="4" w:space="0" w:color="auto"/>
            </w:tblBorders>
            <w:tblCellMar>
              <w:top w:w="20" w:type="dxa"/>
              <w:left w:w="10" w:type="dxa"/>
              <w:bottom w:w="20" w:type="dxa"/>
              <w:right w:w="20" w:type="dxa"/>
            </w:tblCellMar>
            <w:tblLook w:val="0000" w:firstRow="0" w:lastRow="0" w:firstColumn="0" w:lastColumn="0" w:noHBand="0" w:noVBand="0"/>
          </w:tblPr>
          <w:tblGrid>
            <w:gridCol w:w="1665"/>
            <w:gridCol w:w="4425"/>
            <w:gridCol w:w="3870"/>
          </w:tblGrid>
          <w:tr w:rsidR="00B14F43" w14:paraId="0F4AA1DE" w14:textId="77777777">
            <w:tc>
              <w:tcPr>
                <w:tcW w:w="1665" w:type="dxa"/>
                <w:tcBorders>
                  <w:bottom w:val="single" w:sz="4" w:space="0" w:color="auto"/>
                  <w:right w:val="single" w:sz="4" w:space="0" w:color="auto"/>
                </w:tcBorders>
                <w:tcMar>
                  <w:top w:w="0" w:type="dxa"/>
                  <w:left w:w="10" w:type="dxa"/>
                  <w:bottom w:w="0" w:type="dxa"/>
                  <w:right w:w="0" w:type="dxa"/>
                </w:tcMar>
              </w:tcPr>
              <w:p w14:paraId="41AB5B4B" w14:textId="77777777" w:rsidR="00B14F43" w:rsidRDefault="00000000">
                <w:pPr>
                  <w:widowControl w:val="0"/>
                  <w:jc w:val="left"/>
                  <w:rPr>
                    <w:b/>
                    <w:sz w:val="20"/>
                    <w:szCs w:val="20"/>
                  </w:rPr>
                </w:pPr>
                <w:r>
                  <w:rPr>
                    <w:b/>
                    <w:sz w:val="20"/>
                    <w:szCs w:val="20"/>
                  </w:rPr>
                  <w:t>Characteristics</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5DA2389" w14:textId="77777777" w:rsidR="00B14F43" w:rsidRDefault="00000000">
                <w:pPr>
                  <w:widowControl w:val="0"/>
                  <w:jc w:val="left"/>
                  <w:rPr>
                    <w:b/>
                    <w:sz w:val="20"/>
                    <w:szCs w:val="20"/>
                  </w:rPr>
                </w:pPr>
                <w:r>
                  <w:rPr>
                    <w:b/>
                    <w:sz w:val="20"/>
                    <w:szCs w:val="20"/>
                  </w:rPr>
                  <w:t>Definition</w:t>
                </w:r>
              </w:p>
            </w:tc>
            <w:tc>
              <w:tcPr>
                <w:tcW w:w="3870" w:type="dxa"/>
                <w:tcBorders>
                  <w:left w:val="single" w:sz="4" w:space="0" w:color="auto"/>
                  <w:bottom w:val="single" w:sz="4" w:space="0" w:color="auto"/>
                </w:tcBorders>
                <w:tcMar>
                  <w:top w:w="0" w:type="dxa"/>
                  <w:left w:w="10" w:type="dxa"/>
                  <w:bottom w:w="0" w:type="dxa"/>
                  <w:right w:w="0" w:type="dxa"/>
                </w:tcMar>
              </w:tcPr>
              <w:p w14:paraId="7C92300F" w14:textId="77777777" w:rsidR="00B14F43" w:rsidRDefault="00000000">
                <w:pPr>
                  <w:widowControl w:val="0"/>
                  <w:jc w:val="left"/>
                  <w:rPr>
                    <w:b/>
                    <w:sz w:val="20"/>
                    <w:szCs w:val="20"/>
                  </w:rPr>
                </w:pPr>
                <w:r>
                  <w:rPr>
                    <w:b/>
                    <w:sz w:val="20"/>
                    <w:szCs w:val="20"/>
                  </w:rPr>
                  <w:t>Rationale/impact on data integration</w:t>
                </w:r>
              </w:p>
            </w:tc>
          </w:tr>
          <w:tr w:rsidR="00B14F43" w14:paraId="590B6B58"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3D308336" w14:textId="77777777" w:rsidR="00B14F43" w:rsidRDefault="00000000">
                <w:pPr>
                  <w:widowControl w:val="0"/>
                  <w:jc w:val="left"/>
                  <w:rPr>
                    <w:sz w:val="20"/>
                    <w:szCs w:val="20"/>
                  </w:rPr>
                </w:pPr>
                <w:r>
                  <w:rPr>
                    <w:sz w:val="20"/>
                    <w:szCs w:val="20"/>
                  </w:rPr>
                  <w:t>Unambiguous</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092685FD" w14:textId="77777777" w:rsidR="00B14F43" w:rsidRDefault="00000000">
                <w:pPr>
                  <w:widowControl w:val="0"/>
                  <w:jc w:val="left"/>
                  <w:rPr>
                    <w:sz w:val="20"/>
                    <w:szCs w:val="20"/>
                  </w:rPr>
                </w:pPr>
                <w:r>
                  <w:rPr>
                    <w:sz w:val="20"/>
                    <w:szCs w:val="20"/>
                  </w:rPr>
                  <w:t>One LRI MUST be associated to no more than one entity locally. One URI MUST be associated to no more than one entity globally</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25EEE672" w14:textId="77777777" w:rsidR="00B14F43" w:rsidRDefault="00000000">
                <w:pPr>
                  <w:widowControl w:val="0"/>
                  <w:contextualSpacing/>
                  <w:jc w:val="left"/>
                  <w:rPr>
                    <w:sz w:val="20"/>
                    <w:szCs w:val="20"/>
                  </w:rPr>
                </w:pPr>
                <w:r>
                  <w:rPr>
                    <w:sz w:val="20"/>
                    <w:szCs w:val="20"/>
                  </w:rPr>
                  <w:t>Avoids collisions that result in integrating on the wrong entity</w:t>
                </w:r>
              </w:p>
            </w:tc>
          </w:tr>
          <w:tr w:rsidR="00B14F43" w14:paraId="48B03D2E"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621F732" w14:textId="77777777" w:rsidR="00B14F43" w:rsidRDefault="00000000">
                <w:pPr>
                  <w:widowControl w:val="0"/>
                  <w:jc w:val="left"/>
                  <w:rPr>
                    <w:sz w:val="20"/>
                    <w:szCs w:val="20"/>
                  </w:rPr>
                </w:pPr>
                <w:r>
                  <w:rPr>
                    <w:sz w:val="20"/>
                    <w:szCs w:val="20"/>
                  </w:rPr>
                  <w:t>Unique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0015060B" w14:textId="77777777" w:rsidR="00B14F43" w:rsidRDefault="00000000">
                <w:pPr>
                  <w:widowControl w:val="0"/>
                  <w:jc w:val="left"/>
                  <w:rPr>
                    <w:sz w:val="20"/>
                    <w:szCs w:val="20"/>
                  </w:rPr>
                </w:pPr>
                <w:r>
                  <w:rPr>
                    <w:sz w:val="20"/>
                    <w:szCs w:val="20"/>
                  </w:rPr>
                  <w:t xml:space="preserve">One entity SHOULD be identified by no more than one LRI and no more than one URI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41959569" w14:textId="77777777" w:rsidR="00B14F43" w:rsidRDefault="00000000">
                <w:pPr>
                  <w:widowControl w:val="0"/>
                  <w:contextualSpacing/>
                  <w:jc w:val="left"/>
                  <w:rPr>
                    <w:sz w:val="20"/>
                    <w:szCs w:val="20"/>
                  </w:rPr>
                </w:pPr>
                <w:r>
                  <w:rPr>
                    <w:sz w:val="20"/>
                    <w:szCs w:val="20"/>
                  </w:rPr>
                  <w:t>Eliminates costly mapping problems and</w:t>
                </w:r>
              </w:p>
              <w:p w14:paraId="2291A694" w14:textId="77777777" w:rsidR="00B14F43" w:rsidRDefault="00000000">
                <w:pPr>
                  <w:widowControl w:val="0"/>
                  <w:contextualSpacing/>
                  <w:jc w:val="left"/>
                  <w:rPr>
                    <w:sz w:val="20"/>
                    <w:szCs w:val="20"/>
                  </w:rPr>
                </w:pPr>
                <w:r>
                  <w:rPr>
                    <w:sz w:val="20"/>
                    <w:szCs w:val="20"/>
                  </w:rPr>
                  <w:t>avoids false negatives if identifier equivalence cannot be determined</w:t>
                </w:r>
              </w:p>
            </w:tc>
          </w:tr>
          <w:tr w:rsidR="00B14F43" w14:paraId="02C94CF4"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C27D724" w14:textId="77777777" w:rsidR="00B14F43" w:rsidRDefault="00000000">
                <w:pPr>
                  <w:widowControl w:val="0"/>
                  <w:jc w:val="left"/>
                  <w:rPr>
                    <w:sz w:val="20"/>
                    <w:szCs w:val="20"/>
                  </w:rPr>
                </w:pPr>
                <w:r>
                  <w:rPr>
                    <w:sz w:val="20"/>
                    <w:szCs w:val="20"/>
                  </w:rPr>
                  <w:t>Stable (identifier)</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0F755A38" w14:textId="77777777" w:rsidR="00B14F43" w:rsidRDefault="00000000">
                <w:pPr>
                  <w:widowControl w:val="0"/>
                  <w:jc w:val="left"/>
                  <w:rPr>
                    <w:sz w:val="20"/>
                    <w:szCs w:val="20"/>
                  </w:rPr>
                </w:pPr>
                <w:r>
                  <w:rPr>
                    <w:sz w:val="20"/>
                    <w:szCs w:val="20"/>
                  </w:rPr>
                  <w:t>The identifier MUST stay the same over time[a]</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2412DD87" w14:textId="77777777" w:rsidR="00B14F43" w:rsidRDefault="00000000">
                <w:pPr>
                  <w:widowControl w:val="0"/>
                  <w:contextualSpacing/>
                  <w:jc w:val="left"/>
                  <w:rPr>
                    <w:sz w:val="20"/>
                    <w:szCs w:val="20"/>
                  </w:rPr>
                </w:pPr>
                <w:r>
                  <w:rPr>
                    <w:sz w:val="20"/>
                    <w:szCs w:val="20"/>
                  </w:rPr>
                  <w:t>Avoids link rot</w:t>
                </w:r>
              </w:p>
            </w:tc>
          </w:tr>
          <w:tr w:rsidR="00B14F43" w14:paraId="7234391B"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7F99D5FF" w14:textId="77777777" w:rsidR="00B14F43" w:rsidRDefault="00000000">
                <w:pPr>
                  <w:widowControl w:val="0"/>
                  <w:jc w:val="left"/>
                  <w:rPr>
                    <w:sz w:val="20"/>
                    <w:szCs w:val="20"/>
                  </w:rPr>
                </w:pPr>
                <w:r>
                  <w:rPr>
                    <w:sz w:val="20"/>
                    <w:szCs w:val="20"/>
                  </w:rPr>
                  <w:t xml:space="preserve">Stable (entity) </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4BB3A208" w14:textId="77777777" w:rsidR="00B14F43" w:rsidRDefault="00000000">
                <w:pPr>
                  <w:widowControl w:val="0"/>
                  <w:jc w:val="left"/>
                  <w:rPr>
                    <w:sz w:val="20"/>
                    <w:szCs w:val="20"/>
                  </w:rPr>
                </w:pPr>
                <w:r>
                  <w:rPr>
                    <w:sz w:val="20"/>
                    <w:szCs w:val="20"/>
                  </w:rPr>
                  <w:t>Identifier MUST NOT be reassigned to an altogether different entity, though the entity may evolve provided a change history is documented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455BEA31" w14:textId="77777777" w:rsidR="00B14F43" w:rsidRDefault="00000000">
                <w:pPr>
                  <w:widowControl w:val="0"/>
                  <w:contextualSpacing/>
                  <w:jc w:val="left"/>
                  <w:rPr>
                    <w:sz w:val="20"/>
                    <w:szCs w:val="20"/>
                  </w:rPr>
                </w:pPr>
                <w:r>
                  <w:rPr>
                    <w:sz w:val="20"/>
                    <w:szCs w:val="20"/>
                  </w:rPr>
                  <w:t>Avoids integrating on the wrong entity</w:t>
                </w:r>
              </w:p>
            </w:tc>
          </w:tr>
          <w:tr w:rsidR="00B14F43" w14:paraId="565D476A"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587FC2CF" w14:textId="77777777" w:rsidR="00B14F43" w:rsidRDefault="00000000">
                <w:pPr>
                  <w:widowControl w:val="0"/>
                  <w:jc w:val="left"/>
                  <w:rPr>
                    <w:sz w:val="20"/>
                    <w:szCs w:val="20"/>
                  </w:rPr>
                </w:pPr>
                <w:r>
                  <w:rPr>
                    <w:sz w:val="20"/>
                    <w:szCs w:val="20"/>
                  </w:rPr>
                  <w:t>Version- documented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38615EBC" w14:textId="77777777" w:rsidR="00B14F43" w:rsidRDefault="00000000">
                <w:pPr>
                  <w:widowControl w:val="0"/>
                  <w:jc w:val="left"/>
                  <w:rPr>
                    <w:sz w:val="20"/>
                    <w:szCs w:val="20"/>
                  </w:rPr>
                </w:pPr>
                <w:r>
                  <w:rPr>
                    <w:sz w:val="20"/>
                    <w:szCs w:val="20"/>
                  </w:rPr>
                  <w:t xml:space="preserve">If the entity’s definition or essential metadata changes, (Rule 7) the identifier MUST be versioned and/or change history documented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0A7C1C7B" w14:textId="77777777" w:rsidR="00B14F43" w:rsidRDefault="00000000">
                <w:pPr>
                  <w:widowControl w:val="0"/>
                  <w:contextualSpacing/>
                  <w:jc w:val="left"/>
                  <w:rPr>
                    <w:sz w:val="20"/>
                    <w:szCs w:val="20"/>
                  </w:rPr>
                </w:pPr>
                <w:r>
                  <w:rPr>
                    <w:sz w:val="20"/>
                    <w:szCs w:val="20"/>
                  </w:rPr>
                  <w:t>Avoids integrating on the wrong entity state</w:t>
                </w:r>
              </w:p>
            </w:tc>
          </w:tr>
          <w:tr w:rsidR="00B14F43" w14:paraId="0A07E5F7"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53899834" w14:textId="77777777" w:rsidR="00B14F43" w:rsidRDefault="00000000">
                <w:pPr>
                  <w:widowControl w:val="0"/>
                  <w:jc w:val="left"/>
                  <w:rPr>
                    <w:sz w:val="20"/>
                    <w:szCs w:val="20"/>
                  </w:rPr>
                </w:pPr>
                <w:r>
                  <w:rPr>
                    <w:sz w:val="20"/>
                    <w:szCs w:val="20"/>
                  </w:rPr>
                  <w:t>Persistent</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0A0F5E7" w14:textId="77777777" w:rsidR="00B14F43" w:rsidRDefault="00000000">
                <w:pPr>
                  <w:widowControl w:val="0"/>
                  <w:jc w:val="left"/>
                  <w:rPr>
                    <w:sz w:val="20"/>
                    <w:szCs w:val="20"/>
                  </w:rPr>
                </w:pPr>
                <w:r>
                  <w:rPr>
                    <w:sz w:val="20"/>
                    <w:szCs w:val="20"/>
                  </w:rPr>
                  <w:t>The identifier MUST NOT be deleted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1A069828" w14:textId="77777777" w:rsidR="00B14F43" w:rsidRDefault="00000000">
                <w:pPr>
                  <w:widowControl w:val="0"/>
                  <w:contextualSpacing/>
                  <w:jc w:val="left"/>
                  <w:rPr>
                    <w:sz w:val="20"/>
                    <w:szCs w:val="20"/>
                  </w:rPr>
                </w:pPr>
                <w:r>
                  <w:rPr>
                    <w:sz w:val="20"/>
                    <w:szCs w:val="20"/>
                  </w:rPr>
                  <w:t>Avoids link rot</w:t>
                </w:r>
              </w:p>
            </w:tc>
          </w:tr>
          <w:tr w:rsidR="00B14F43" w14:paraId="0B469A5B"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6C0DE761" w14:textId="77777777" w:rsidR="00B14F43" w:rsidRDefault="00000000">
                <w:pPr>
                  <w:widowControl w:val="0"/>
                  <w:jc w:val="left"/>
                  <w:rPr>
                    <w:sz w:val="20"/>
                    <w:szCs w:val="20"/>
                  </w:rPr>
                </w:pPr>
                <w:r>
                  <w:rPr>
                    <w:sz w:val="20"/>
                    <w:szCs w:val="20"/>
                  </w:rPr>
                  <w:t>Web-resolvable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6C726C59" w14:textId="77777777" w:rsidR="00B14F43" w:rsidRDefault="00000000">
                <w:pPr>
                  <w:widowControl w:val="0"/>
                  <w:jc w:val="left"/>
                  <w:rPr>
                    <w:sz w:val="20"/>
                    <w:szCs w:val="20"/>
                  </w:rPr>
                </w:pPr>
                <w:r>
                  <w:rPr>
                    <w:sz w:val="20"/>
                    <w:szCs w:val="20"/>
                  </w:rPr>
                  <w:t>The URI MUST be resolvable to a web address where the data or information about the entry can be accessed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7CB372C3" w14:textId="77777777" w:rsidR="00B14F43" w:rsidRDefault="00000000">
                <w:pPr>
                  <w:widowControl w:val="0"/>
                  <w:contextualSpacing/>
                  <w:jc w:val="left"/>
                  <w:rPr>
                    <w:sz w:val="20"/>
                    <w:szCs w:val="20"/>
                  </w:rPr>
                </w:pPr>
                <w:r>
                  <w:rPr>
                    <w:sz w:val="20"/>
                    <w:szCs w:val="20"/>
                  </w:rPr>
                  <w:t>Avoids the unnecessary proliferation of resolvable identifiers issued by third parties (for entities that are not resolvable or identified in their native context)</w:t>
                </w:r>
              </w:p>
            </w:tc>
          </w:tr>
          <w:tr w:rsidR="00B14F43" w14:paraId="31E39114"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E9C3DBF" w14:textId="77777777" w:rsidR="00B14F43" w:rsidRDefault="00000000">
                <w:pPr>
                  <w:widowControl w:val="0"/>
                  <w:jc w:val="left"/>
                  <w:rPr>
                    <w:sz w:val="20"/>
                    <w:szCs w:val="20"/>
                  </w:rPr>
                </w:pPr>
                <w:r>
                  <w:rPr>
                    <w:sz w:val="20"/>
                    <w:szCs w:val="20"/>
                  </w:rPr>
                  <w:t>Convertible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3AF99411" w14:textId="77777777" w:rsidR="00B14F43" w:rsidRDefault="00000000">
                <w:pPr>
                  <w:widowControl w:val="0"/>
                  <w:jc w:val="left"/>
                  <w:rPr>
                    <w:sz w:val="20"/>
                    <w:szCs w:val="20"/>
                  </w:rPr>
                </w:pPr>
                <w:r>
                  <w:rPr>
                    <w:sz w:val="20"/>
                    <w:szCs w:val="20"/>
                  </w:rPr>
                  <w:t>The LRI and its URI counterpart MUST be inter-convertible by prepending resolving namespace</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13B21530" w14:textId="77777777" w:rsidR="00B14F43" w:rsidRDefault="00000000">
                <w:pPr>
                  <w:widowControl w:val="0"/>
                  <w:contextualSpacing/>
                  <w:jc w:val="left"/>
                  <w:rPr>
                    <w:sz w:val="20"/>
                    <w:szCs w:val="20"/>
                  </w:rPr>
                </w:pPr>
                <w:r>
                  <w:rPr>
                    <w:sz w:val="20"/>
                    <w:szCs w:val="20"/>
                  </w:rPr>
                  <w:t>Avoids the need for special handling of edge cases when integrating data at scale</w:t>
                </w:r>
              </w:p>
            </w:tc>
          </w:tr>
          <w:tr w:rsidR="00B14F43" w14:paraId="63D339B8"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0241806A" w14:textId="77777777" w:rsidR="00B14F43" w:rsidRDefault="00000000">
                <w:pPr>
                  <w:widowControl w:val="0"/>
                  <w:jc w:val="left"/>
                  <w:rPr>
                    <w:sz w:val="20"/>
                    <w:szCs w:val="20"/>
                  </w:rPr>
                </w:pPr>
                <w:r>
                  <w:rPr>
                    <w:sz w:val="20"/>
                    <w:szCs w:val="20"/>
                  </w:rPr>
                  <w:t>Defined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25E81550" w14:textId="77777777" w:rsidR="00B14F43" w:rsidRDefault="00000000">
                <w:pPr>
                  <w:widowControl w:val="0"/>
                  <w:jc w:val="left"/>
                  <w:rPr>
                    <w:sz w:val="20"/>
                    <w:szCs w:val="20"/>
                  </w:rPr>
                </w:pPr>
                <w:r>
                  <w:rPr>
                    <w:sz w:val="20"/>
                    <w:szCs w:val="20"/>
                  </w:rPr>
                  <w:t xml:space="preserve">The identifier MUST each adhere to a formal pattern (e.g. regular expression) </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53865762" w14:textId="77777777" w:rsidR="00B14F43" w:rsidRDefault="00000000">
                <w:pPr>
                  <w:widowControl w:val="0"/>
                  <w:contextualSpacing/>
                  <w:jc w:val="left"/>
                  <w:rPr>
                    <w:sz w:val="20"/>
                    <w:szCs w:val="20"/>
                  </w:rPr>
                </w:pPr>
                <w:r>
                  <w:rPr>
                    <w:sz w:val="20"/>
                    <w:szCs w:val="20"/>
                  </w:rPr>
                  <w:t>Facilitates validation and extraction from text</w:t>
                </w:r>
              </w:p>
            </w:tc>
          </w:tr>
          <w:tr w:rsidR="00B14F43" w14:paraId="4C6D72BF"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395A2FFF" w14:textId="77777777" w:rsidR="00B14F43" w:rsidRDefault="00000000">
                <w:pPr>
                  <w:widowControl w:val="0"/>
                  <w:jc w:val="left"/>
                  <w:rPr>
                    <w:sz w:val="20"/>
                    <w:szCs w:val="20"/>
                  </w:rPr>
                </w:pPr>
                <w:r>
                  <w:rPr>
                    <w:sz w:val="20"/>
                    <w:szCs w:val="20"/>
                  </w:rPr>
                  <w:t>Web-friendly</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53F00F8B" w14:textId="77777777" w:rsidR="00B14F43" w:rsidRDefault="00000000">
                <w:pPr>
                  <w:widowControl w:val="0"/>
                  <w:jc w:val="left"/>
                  <w:rPr>
                    <w:sz w:val="20"/>
                    <w:szCs w:val="20"/>
                  </w:rPr>
                </w:pPr>
                <w:r>
                  <w:rPr>
                    <w:sz w:val="20"/>
                    <w:szCs w:val="20"/>
                  </w:rPr>
                  <w:t>The LRI MUST be of a format that does not need special handling when used in URLs and common exchange formats (e.g. XML)</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3B913365" w14:textId="77777777" w:rsidR="00B14F43" w:rsidRDefault="00000000">
                <w:pPr>
                  <w:widowControl w:val="0"/>
                  <w:contextualSpacing/>
                  <w:jc w:val="left"/>
                  <w:rPr>
                    <w:sz w:val="20"/>
                    <w:szCs w:val="20"/>
                  </w:rPr>
                </w:pPr>
                <w:r>
                  <w:rPr>
                    <w:sz w:val="20"/>
                    <w:szCs w:val="20"/>
                  </w:rPr>
                  <w:t>Avoids potential points of failure due to malformed URL, XML, etc.</w:t>
                </w:r>
              </w:p>
            </w:tc>
          </w:tr>
          <w:tr w:rsidR="00B14F43" w14:paraId="3DEBF613"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1DD7E70D" w14:textId="77777777" w:rsidR="00B14F43" w:rsidRDefault="00000000">
                <w:pPr>
                  <w:widowControl w:val="0"/>
                  <w:jc w:val="left"/>
                  <w:rPr>
                    <w:sz w:val="20"/>
                    <w:szCs w:val="20"/>
                  </w:rPr>
                </w:pPr>
                <w:r>
                  <w:rPr>
                    <w:sz w:val="20"/>
                    <w:szCs w:val="20"/>
                  </w:rPr>
                  <w:t>Free to assign</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7EC79325" w14:textId="77777777" w:rsidR="00B14F43" w:rsidRDefault="00000000">
                <w:pPr>
                  <w:widowControl w:val="0"/>
                  <w:jc w:val="left"/>
                  <w:rPr>
                    <w:sz w:val="20"/>
                    <w:szCs w:val="20"/>
                  </w:rPr>
                </w:pPr>
                <w:r>
                  <w:rPr>
                    <w:sz w:val="20"/>
                    <w:szCs w:val="20"/>
                  </w:rPr>
                  <w:t>The identifier SHOULD be assigned at no cost to individuals depositing data in a repository</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4964DFD6" w14:textId="77777777" w:rsidR="00B14F43" w:rsidRDefault="00000000">
                <w:pPr>
                  <w:widowControl w:val="0"/>
                  <w:contextualSpacing/>
                  <w:jc w:val="left"/>
                  <w:rPr>
                    <w:sz w:val="20"/>
                    <w:szCs w:val="20"/>
                  </w:rPr>
                </w:pPr>
                <w:r>
                  <w:rPr>
                    <w:sz w:val="20"/>
                    <w:szCs w:val="20"/>
                  </w:rPr>
                  <w:t>Encourages data providers to deposit data</w:t>
                </w:r>
              </w:p>
            </w:tc>
          </w:tr>
          <w:tr w:rsidR="00B14F43" w14:paraId="46E42A3E"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204C0EDF" w14:textId="77777777" w:rsidR="00B14F43" w:rsidRDefault="00000000">
                <w:pPr>
                  <w:widowControl w:val="0"/>
                  <w:jc w:val="left"/>
                  <w:rPr>
                    <w:sz w:val="20"/>
                    <w:szCs w:val="20"/>
                  </w:rPr>
                </w:pPr>
                <w:r>
                  <w:rPr>
                    <w:sz w:val="20"/>
                    <w:szCs w:val="20"/>
                  </w:rPr>
                  <w:t>Open access and use</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20E33DEE" w14:textId="77777777" w:rsidR="00B14F43" w:rsidRDefault="00000000">
                <w:pPr>
                  <w:widowControl w:val="0"/>
                  <w:jc w:val="left"/>
                  <w:rPr>
                    <w:sz w:val="20"/>
                    <w:szCs w:val="20"/>
                  </w:rPr>
                </w:pPr>
                <w:r>
                  <w:rPr>
                    <w:sz w:val="20"/>
                    <w:szCs w:val="20"/>
                  </w:rPr>
                  <w:t>The identifier SHOULD be able to be transparently referenced and actioned (e.g. in a public index or search) anywhere by anyone and for any reason. Restrictions on associated data may apply but are not recommended.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48CBA0C9" w14:textId="77777777" w:rsidR="00B14F43" w:rsidRDefault="00000000">
                <w:pPr>
                  <w:widowControl w:val="0"/>
                  <w:contextualSpacing/>
                  <w:jc w:val="left"/>
                  <w:rPr>
                    <w:sz w:val="20"/>
                    <w:szCs w:val="20"/>
                  </w:rPr>
                </w:pPr>
                <w:r>
                  <w:rPr>
                    <w:sz w:val="20"/>
                    <w:szCs w:val="20"/>
                  </w:rPr>
                  <w:t xml:space="preserve">Enables integration </w:t>
                </w:r>
                <w:proofErr w:type="gramStart"/>
                <w:r>
                  <w:rPr>
                    <w:sz w:val="20"/>
                    <w:szCs w:val="20"/>
                  </w:rPr>
                  <w:t>on the basis of</w:t>
                </w:r>
                <w:proofErr w:type="gramEnd"/>
                <w:r>
                  <w:rPr>
                    <w:sz w:val="20"/>
                    <w:szCs w:val="20"/>
                  </w:rPr>
                  <w:t xml:space="preserve"> scientific merit, rather than on the restrictions of the license</w:t>
                </w:r>
              </w:p>
            </w:tc>
          </w:tr>
          <w:tr w:rsidR="00B14F43" w14:paraId="71D04BE9" w14:textId="77777777">
            <w:tc>
              <w:tcPr>
                <w:tcW w:w="1665" w:type="dxa"/>
                <w:tcBorders>
                  <w:top w:val="single" w:sz="4" w:space="0" w:color="auto"/>
                  <w:bottom w:val="single" w:sz="4" w:space="0" w:color="auto"/>
                  <w:right w:val="single" w:sz="4" w:space="0" w:color="auto"/>
                </w:tcBorders>
                <w:tcMar>
                  <w:top w:w="0" w:type="dxa"/>
                  <w:left w:w="10" w:type="dxa"/>
                  <w:bottom w:w="0" w:type="dxa"/>
                  <w:right w:w="0" w:type="dxa"/>
                </w:tcMar>
              </w:tcPr>
              <w:p w14:paraId="3A356397" w14:textId="77777777" w:rsidR="00B14F43" w:rsidRDefault="00000000">
                <w:pPr>
                  <w:widowControl w:val="0"/>
                  <w:jc w:val="left"/>
                  <w:rPr>
                    <w:sz w:val="20"/>
                    <w:szCs w:val="20"/>
                  </w:rPr>
                </w:pPr>
                <w:r>
                  <w:rPr>
                    <w:sz w:val="20"/>
                    <w:szCs w:val="20"/>
                  </w:rPr>
                  <w:t>Documented</w:t>
                </w:r>
              </w:p>
            </w:tc>
            <w:tc>
              <w:tcPr>
                <w:tcW w:w="4425" w:type="dxa"/>
                <w:tcBorders>
                  <w:top w:val="single" w:sz="4" w:space="0" w:color="auto"/>
                  <w:left w:val="single" w:sz="4" w:space="0" w:color="auto"/>
                  <w:bottom w:val="single" w:sz="4" w:space="0" w:color="auto"/>
                  <w:right w:val="single" w:sz="4" w:space="0" w:color="auto"/>
                </w:tcBorders>
                <w:tcMar>
                  <w:top w:w="0" w:type="dxa"/>
                  <w:left w:w="10" w:type="dxa"/>
                  <w:bottom w:w="0" w:type="dxa"/>
                  <w:right w:w="0" w:type="dxa"/>
                </w:tcMar>
              </w:tcPr>
              <w:p w14:paraId="2D3A743E" w14:textId="77777777" w:rsidR="00B14F43" w:rsidRDefault="00000000">
                <w:pPr>
                  <w:widowControl w:val="0"/>
                  <w:jc w:val="left"/>
                  <w:rPr>
                    <w:sz w:val="20"/>
                    <w:szCs w:val="20"/>
                  </w:rPr>
                </w:pPr>
                <w:r>
                  <w:rPr>
                    <w:sz w:val="20"/>
                    <w:szCs w:val="20"/>
                  </w:rPr>
                  <w:t>The identifier scheme MUST be documented</w:t>
                </w:r>
              </w:p>
            </w:tc>
            <w:tc>
              <w:tcPr>
                <w:tcW w:w="3870" w:type="dxa"/>
                <w:tcBorders>
                  <w:top w:val="single" w:sz="4" w:space="0" w:color="auto"/>
                  <w:left w:val="single" w:sz="4" w:space="0" w:color="auto"/>
                  <w:bottom w:val="single" w:sz="4" w:space="0" w:color="auto"/>
                </w:tcBorders>
                <w:tcMar>
                  <w:top w:w="0" w:type="dxa"/>
                  <w:left w:w="10" w:type="dxa"/>
                  <w:bottom w:w="0" w:type="dxa"/>
                  <w:right w:w="0" w:type="dxa"/>
                </w:tcMar>
              </w:tcPr>
              <w:p w14:paraId="368A46F1" w14:textId="77777777" w:rsidR="00B14F43" w:rsidRDefault="00000000">
                <w:pPr>
                  <w:widowControl w:val="0"/>
                  <w:contextualSpacing/>
                  <w:jc w:val="left"/>
                  <w:rPr>
                    <w:sz w:val="20"/>
                    <w:szCs w:val="20"/>
                  </w:rPr>
                </w:pPr>
                <w:r>
                  <w:rPr>
                    <w:sz w:val="20"/>
                    <w:szCs w:val="20"/>
                  </w:rPr>
                  <w:t>Encourages consistent use of existing identifiers. Decreases identifier proliferation.</w:t>
                </w:r>
              </w:p>
            </w:tc>
          </w:tr>
        </w:tbl>
      </w:sdtContent>
    </w:sdt>
    <w:sdt>
      <w:sdtPr>
        <w:tag w:val="ox:a64d6073-9561-5fc0-a304-05c53ac0e0cf"/>
        <w:id w:val="-1651519949"/>
      </w:sdtPr>
      <w:sdtContent>
        <w:p w14:paraId="5EFD2AF8" w14:textId="77777777" w:rsidR="00B14F43" w:rsidRDefault="00000000">
          <w:pPr>
            <w:pStyle w:val="LO-normal"/>
          </w:pPr>
          <w:r>
            <w:rPr>
              <w:rFonts w:ascii="Arial Narrow" w:hAnsi="Arial Narrow"/>
              <w:sz w:val="20"/>
            </w:rPr>
            <w:t xml:space="preserve">a </w:t>
          </w:r>
          <w:r>
            <w:rPr>
              <w:rFonts w:ascii="Arial Narrow" w:hAnsi="Arial Narrow"/>
            </w:rPr>
            <w:t xml:space="preserve">Berners-Lee T. Cool URIs don’t change. 1998. [Cited 2015 May 15]. [Internet]. Available: </w:t>
          </w:r>
          <w:hyperlink r:id="rId25" w:history="1">
            <w:r>
              <w:rPr>
                <w:rFonts w:ascii="Arial Narrow" w:hAnsi="Arial Narrow"/>
                <w:color w:val="1155CC"/>
                <w:u w:val="single"/>
              </w:rPr>
              <w:t>http://www.w3.org/Provider/Style/URI</w:t>
            </w:r>
          </w:hyperlink>
        </w:p>
      </w:sdtContent>
    </w:sdt>
    <w:sdt>
      <w:sdtPr>
        <w:tag w:val="ox:d56d2eb3-9cae-52df-b77f-aed3bf591772"/>
        <w:id w:val="-768240488"/>
      </w:sdtPr>
      <w:sdtContent>
        <w:p w14:paraId="31665991" w14:textId="77777777" w:rsidR="00B14F43" w:rsidRDefault="00000000">
          <w:pPr>
            <w:pStyle w:val="Heading2"/>
            <w:contextualSpacing w:val="0"/>
          </w:pPr>
          <w:r>
            <w:t xml:space="preserve">Rule 4: </w:t>
          </w:r>
          <w:proofErr w:type="spellStart"/>
          <w:r>
            <w:t>Opt</w:t>
          </w:r>
          <w:proofErr w:type="spellEnd"/>
          <w:r>
            <w:t xml:space="preserve"> for simple, durable web resolution</w:t>
          </w:r>
        </w:p>
      </w:sdtContent>
    </w:sdt>
    <w:sdt>
      <w:sdtPr>
        <w:tag w:val="ox:849b6760-ec3c-59ed-8881-f0076d9887e9"/>
        <w:id w:val="-257138186"/>
      </w:sdtPr>
      <w:sdtContent>
        <w:p w14:paraId="3E86D19D" w14:textId="77777777" w:rsidR="00B14F43" w:rsidRDefault="00000000">
          <w:pPr>
            <w:pStyle w:val="LO-normal"/>
          </w:pPr>
          <w:r>
            <w:t xml:space="preserve">If you are a database provider, you must implement a </w:t>
          </w:r>
          <w:r>
            <w:rPr>
              <w:rFonts w:ascii="Consolas" w:hAnsi="Consolas"/>
            </w:rPr>
            <w:t>resolving namespace</w:t>
          </w:r>
          <w:r>
            <w:t xml:space="preserve"> (</w:t>
          </w:r>
          <w:r>
            <w:rPr>
              <w:b/>
            </w:rPr>
            <w:t>Fig. 1 panel B</w:t>
          </w:r>
          <w:r>
            <w:t xml:space="preserve">) for local identifiers to be “resolvable” to a web page. Use best practices to implement </w:t>
          </w:r>
          <w:r>
            <w:rPr>
              <w:rFonts w:ascii="Consolas" w:hAnsi="Consolas"/>
            </w:rPr>
            <w:t>content negotiation</w:t>
          </w:r>
          <w:r>
            <w:t xml:space="preserve"> for different encodings of your data [</w:t>
          </w:r>
          <w:hyperlink r:id="rId26" w:history="1">
            <w:r>
              <w:rPr>
                <w:color w:val="1155CC"/>
                <w:u w:val="single"/>
              </w:rPr>
              <w:t>2</w:t>
            </w:r>
          </w:hyperlink>
          <w:r>
            <w:t>], and provide direct access to data, metadata, and persistence statements [</w:t>
          </w:r>
          <w:hyperlink r:id="rId27" w:history="1">
            <w:r>
              <w:rPr>
                <w:color w:val="1155CC"/>
                <w:u w:val="single"/>
              </w:rPr>
              <w:t>13</w:t>
            </w:r>
          </w:hyperlink>
          <w:r>
            <w:t>]. If you choose to outsource to a resolver service, use an approach that is JDDCP approved [</w:t>
          </w:r>
          <w:hyperlink r:id="rId28" w:history="1">
            <w:r>
              <w:rPr>
                <w:color w:val="1155CC"/>
                <w:u w:val="single"/>
              </w:rPr>
              <w:t>2</w:t>
            </w:r>
          </w:hyperlink>
          <w:r>
            <w:t xml:space="preserve">] (e.g. </w:t>
          </w:r>
          <w:hyperlink r:id="rId29" w:history="1">
            <w:r>
              <w:rPr>
                <w:color w:val="1155CC"/>
                <w:u w:val="single"/>
              </w:rPr>
              <w:t>DataCite</w:t>
            </w:r>
          </w:hyperlink>
          <w:r>
            <w:t xml:space="preserve">, </w:t>
          </w:r>
          <w:hyperlink r:id="rId30" w:history="1">
            <w:r>
              <w:rPr>
                <w:color w:val="1155CC"/>
                <w:u w:val="single"/>
              </w:rPr>
              <w:t>CrossRef</w:t>
            </w:r>
          </w:hyperlink>
          <w:r>
            <w:t xml:space="preserve">, </w:t>
          </w:r>
          <w:hyperlink r:id="rId31" w:history="1">
            <w:r>
              <w:rPr>
                <w:color w:val="1155CC"/>
                <w:u w:val="single"/>
              </w:rPr>
              <w:t>Identifiers.org</w:t>
            </w:r>
          </w:hyperlink>
          <w:r>
            <w:t xml:space="preserve">, </w:t>
          </w:r>
          <w:hyperlink r:id="rId32" w:history="1">
            <w:r>
              <w:rPr>
                <w:color w:val="1155CC"/>
                <w:u w:val="single"/>
              </w:rPr>
              <w:t>Handle.net</w:t>
            </w:r>
          </w:hyperlink>
          <w:r>
            <w:t xml:space="preserve">, </w:t>
          </w:r>
          <w:hyperlink r:id="rId33" w:history="1">
            <w:r>
              <w:rPr>
                <w:color w:val="1155CC"/>
                <w:u w:val="single"/>
              </w:rPr>
              <w:t>PURL</w:t>
            </w:r>
          </w:hyperlink>
          <w:r>
            <w:t xml:space="preserve">, </w:t>
          </w:r>
          <w:hyperlink r:id="rId34" w:history="1">
            <w:r>
              <w:rPr>
                <w:color w:val="1155CC"/>
                <w:u w:val="single"/>
              </w:rPr>
              <w:t>EPIC</w:t>
            </w:r>
          </w:hyperlink>
          <w:r>
            <w:t xml:space="preserve">, </w:t>
          </w:r>
          <w:hyperlink r:id="rId35" w:history="1">
            <w:r>
              <w:rPr>
                <w:color w:val="1155CC"/>
                <w:u w:val="single"/>
              </w:rPr>
              <w:t>ARK</w:t>
            </w:r>
          </w:hyperlink>
          <w:r>
            <w:t xml:space="preserve">) and be mindful of your constraints regarding cost, metadata ownership, turnaround time, etc. (See </w:t>
          </w:r>
          <w:r>
            <w:rPr>
              <w:b/>
            </w:rPr>
            <w:t xml:space="preserve">Text S5 </w:t>
          </w:r>
          <w:r>
            <w:t>for a more comprehensive list of considerations.) If you have the resources to support your own persistent URIs, design these to be simple: Omit anything that is likely to change or lapse, including administrative details (e.g. grant name) or implementation details such as file extensions (‘</w:t>
          </w:r>
          <w:r>
            <w:rPr>
              <w:rFonts w:ascii="Consolas" w:hAnsi="Consolas"/>
            </w:rPr>
            <w:t>resource.html</w:t>
          </w:r>
          <w:r>
            <w:t>’), query strings (‘</w:t>
          </w:r>
          <w:r>
            <w:rPr>
              <w:rFonts w:ascii="Consolas" w:hAnsi="Consolas"/>
            </w:rPr>
            <w:t>param=value</w:t>
          </w:r>
          <w:r>
            <w:t>’), and technology choices (‘</w:t>
          </w:r>
          <w:r>
            <w:rPr>
              <w:rFonts w:ascii="Consolas" w:hAnsi="Consolas"/>
            </w:rPr>
            <w:t>.</w:t>
          </w:r>
          <w:proofErr w:type="spellStart"/>
          <w:r>
            <w:rPr>
              <w:rFonts w:ascii="Consolas" w:hAnsi="Consolas"/>
            </w:rPr>
            <w:t>php</w:t>
          </w:r>
          <w:proofErr w:type="spellEnd"/>
          <w:r>
            <w:t xml:space="preserve">’). The compact URI approach can work with any resolver(s): see for instance examples 4 and 5 in </w:t>
          </w:r>
          <w:r>
            <w:rPr>
              <w:b/>
            </w:rPr>
            <w:t>Figure 1</w:t>
          </w:r>
          <w:r>
            <w:t xml:space="preserve">. By choosing a single </w:t>
          </w:r>
          <w:r>
            <w:rPr>
              <w:rFonts w:ascii="Consolas" w:hAnsi="Consolas"/>
            </w:rPr>
            <w:t>namespace</w:t>
          </w:r>
          <w:r>
            <w:t xml:space="preserve"> per database, you make it possible for others to resolve your identifiers simply (</w:t>
          </w:r>
          <w:r>
            <w:rPr>
              <w:b/>
            </w:rPr>
            <w:t>Fig. 1 panel A</w:t>
          </w:r>
          <w:r>
            <w:t xml:space="preserve">). If multiple resolvers are used, each must have a corresponding prefix (e.g. </w:t>
          </w:r>
          <w:r>
            <w:rPr>
              <w:rFonts w:ascii="Arial Narrow" w:hAnsi="Arial Narrow"/>
            </w:rPr>
            <w:t xml:space="preserve">KEGG-path: http://www.kegg.jp/dbget-bin/www_bget?path: vs KEGG-ko: </w:t>
          </w:r>
          <w:hyperlink r:id="rId36" w:history="1">
            <w:r>
              <w:rPr>
                <w:rFonts w:ascii="Arial Narrow" w:hAnsi="Arial Narrow"/>
                <w:color w:val="1155CC"/>
                <w:u w:val="single"/>
              </w:rPr>
              <w:t>http://www.kegg.jp/dbget-bin/www_bget?ko</w:t>
            </w:r>
          </w:hyperlink>
          <w:r>
            <w:rPr>
              <w:rFonts w:ascii="Arial Narrow" w:hAnsi="Arial Narrow"/>
            </w:rPr>
            <w:t xml:space="preserve">:) </w:t>
          </w:r>
          <w:r>
            <w:t xml:space="preserve">Occasionally, the </w:t>
          </w:r>
          <w:r>
            <w:rPr>
              <w:rFonts w:ascii="Consolas" w:hAnsi="Consolas"/>
              <w:b/>
            </w:rPr>
            <w:t xml:space="preserve">resolving namespace </w:t>
          </w:r>
          <w:r>
            <w:t xml:space="preserve">is the same as the homepage (e.g. </w:t>
          </w:r>
          <w:hyperlink r:id="rId37" w:history="1">
            <w:r>
              <w:rPr>
                <w:color w:val="1155CC"/>
                <w:u w:val="single"/>
              </w:rPr>
              <w:t>http://zfin.org/</w:t>
            </w:r>
          </w:hyperlink>
          <w:r>
            <w:t xml:space="preserve"> in </w:t>
          </w:r>
          <w:r>
            <w:rPr>
              <w:b/>
            </w:rPr>
            <w:t>Fig. 1</w:t>
          </w:r>
          <w:r>
            <w:t xml:space="preserve">). In all cases, the </w:t>
          </w:r>
          <w:r>
            <w:rPr>
              <w:rFonts w:ascii="Consolas" w:hAnsi="Consolas"/>
              <w:b/>
            </w:rPr>
            <w:t>resolving namespace</w:t>
          </w:r>
          <w:r>
            <w:t xml:space="preserve"> must be exactly as it appears in the URI: it must include the protocol (e.g. http://) and, if applicable, trailing slash or other delimiters.</w:t>
          </w:r>
        </w:p>
      </w:sdtContent>
    </w:sdt>
    <w:sdt>
      <w:sdtPr>
        <w:tag w:val="ox:c6c20878-03a7-54bf-bd4d-706362ddf47c"/>
        <w:id w:val="2031604507"/>
      </w:sdtPr>
      <w:sdtContent>
        <w:p w14:paraId="552447E1" w14:textId="77777777" w:rsidR="00B14F43" w:rsidRDefault="00000000">
          <w:pPr>
            <w:pStyle w:val="LO-normal"/>
          </w:pPr>
        </w:p>
      </w:sdtContent>
    </w:sdt>
    <w:sdt>
      <w:sdtPr>
        <w:tag w:val="ox:f300f209-6b4d-55b8-9579-f7cb08916471"/>
        <w:id w:val="376358754"/>
      </w:sdtPr>
      <w:sdtContent>
        <w:p w14:paraId="6BE66664" w14:textId="77777777" w:rsidR="00B14F43" w:rsidRDefault="00000000">
          <w:pPr>
            <w:pStyle w:val="LO-normal"/>
          </w:pPr>
          <w:r>
            <w:rPr>
              <w:b/>
            </w:rPr>
            <w:t xml:space="preserve">Fig. 1. Examples of provisioning resolvable URIs: </w:t>
          </w:r>
        </w:p>
      </w:sdtContent>
    </w:sdt>
    <w:sdt>
      <w:sdtPr>
        <w:tag w:val="ox:26f002be-b058-5d03-801c-118319ad896f"/>
        <w:id w:val="1880898556"/>
      </w:sdtPr>
      <w:sdtContent>
        <w:p w14:paraId="00F2FA80" w14:textId="77777777" w:rsidR="00B14F43" w:rsidRDefault="00000000">
          <w:pPr>
            <w:pStyle w:val="LO-normal"/>
          </w:pPr>
          <w:r>
            <w:rPr>
              <w:sz w:val="20"/>
            </w:rPr>
            <w:t xml:space="preserve">Compact URIs (CURIEs) (Panel A), URIs (Panel B) and Access URLs (Panel C) with in house examples from (ZFIN, </w:t>
          </w:r>
          <w:proofErr w:type="spellStart"/>
          <w:r>
            <w:rPr>
              <w:sz w:val="20"/>
            </w:rPr>
            <w:t>UniProt</w:t>
          </w:r>
          <w:proofErr w:type="spellEnd"/>
          <w:r>
            <w:rPr>
              <w:sz w:val="20"/>
            </w:rPr>
            <w:t>, and ENSEMBL and 3rd party resolver examples using identifiers.org and DOI. In each case, the URI can be algorithmically derived from the CURIE, and the LRI itself is included (unmodified) within the URI.</w:t>
          </w:r>
        </w:p>
      </w:sdtContent>
    </w:sdt>
    <w:sdt>
      <w:sdtPr>
        <w:tag w:val="ox:89bcfb96-7aaa-51cb-b362-6b58cb5fdfd5"/>
        <w:id w:val="1924995089"/>
      </w:sdtPr>
      <w:sdtContent>
        <w:p w14:paraId="0480B0D5" w14:textId="77777777" w:rsidR="00B14F43" w:rsidRDefault="00000000">
          <w:pPr>
            <w:pStyle w:val="LO-normal"/>
            <w:ind w:left="-435" w:firstLine="293"/>
            <w:jc w:val="center"/>
          </w:pPr>
          <w:r>
            <w:rPr>
              <w:noProof/>
            </w:rPr>
            <w:drawing>
              <wp:inline distT="0" distB="0" distL="0" distR="0" wp14:anchorId="60C38D12" wp14:editId="4907D9E6">
                <wp:extent cx="6333490" cy="239776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0" name="image-8717f644ef94.png"/>
                        <pic:cNvPicPr>
                          <a:picLocks noChangeAspect="1" noChangeArrowheads="1"/>
                        </pic:cNvPicPr>
                      </pic:nvPicPr>
                      <pic:blipFill>
                        <a:blip r:embed="rId38"/>
                        <a:stretch>
                          <a:fillRect/>
                        </a:stretch>
                      </pic:blipFill>
                      <pic:spPr bwMode="auto">
                        <a:xfrm>
                          <a:off x="0" y="0"/>
                          <a:ext cx="6333490" cy="2397760"/>
                        </a:xfrm>
                        <a:prstGeom prst="rect">
                          <a:avLst/>
                        </a:prstGeom>
                      </pic:spPr>
                    </pic:pic>
                  </a:graphicData>
                </a:graphic>
              </wp:inline>
            </w:drawing>
          </w:r>
        </w:p>
      </w:sdtContent>
    </w:sdt>
    <w:sdt>
      <w:sdtPr>
        <w:tag w:val="ox:6719c2b1-3be4-5776-a860-8cc3c3a161e1"/>
        <w:id w:val="-1727752229"/>
      </w:sdtPr>
      <w:sdtContent>
        <w:p w14:paraId="580C94ED" w14:textId="77777777" w:rsidR="00B14F43" w:rsidRDefault="00000000">
          <w:pPr>
            <w:pStyle w:val="LO-normal"/>
            <w:ind w:left="-435" w:firstLine="293"/>
            <w:jc w:val="center"/>
          </w:pPr>
        </w:p>
      </w:sdtContent>
    </w:sdt>
    <w:sdt>
      <w:sdtPr>
        <w:tag w:val="ox:875ddead-7c6c-5db9-9672-d19a882a8361"/>
        <w:id w:val="190268524"/>
      </w:sdtPr>
      <w:sdtContent>
        <w:p w14:paraId="75BA1A41" w14:textId="77777777" w:rsidR="00B14F43" w:rsidRDefault="00000000">
          <w:pPr>
            <w:pStyle w:val="Heading2"/>
            <w:spacing w:before="0"/>
            <w:contextualSpacing w:val="0"/>
          </w:pPr>
          <w:r>
            <w:t>Rule 5: Avoid embedding meaning</w:t>
          </w:r>
        </w:p>
      </w:sdtContent>
    </w:sdt>
    <w:sdt>
      <w:sdtPr>
        <w:tag w:val="ox:2a9b7dcb-47b3-5025-929e-361883ebc5be"/>
        <w:id w:val="1038560006"/>
      </w:sdtPr>
      <w:sdtContent>
        <w:p w14:paraId="7F8E2326" w14:textId="77777777" w:rsidR="00B14F43" w:rsidRDefault="00000000">
          <w:pPr>
            <w:pStyle w:val="LO-normal"/>
          </w:pPr>
          <w:r>
            <w:t xml:space="preserve">The structure and scope of collections evolve, as does scientific understanding; minimizing the meaning embedded in identifiers makes them less vulnerable to obsoletion. In human genetics many genes were initially identified based on disease association. Later the identification, nomenclature, and function of genes were separated into different activities. It is still possible to embed precision within an identifier: for instance, an InChI string both identifies a chemical entity and defines its structure. Hence, meaning can be embedded where it is indisputable, unchangeable and/or useful to the data consumer (e.g. computer-processable). These rules of thumb apply especially to LRIs but also to the path of the URIs (see </w:t>
          </w:r>
          <w:r>
            <w:rPr>
              <w:b/>
            </w:rPr>
            <w:t>Rule 4</w:t>
          </w:r>
          <w:r>
            <w:t xml:space="preserve">). </w:t>
          </w:r>
        </w:p>
      </w:sdtContent>
    </w:sdt>
    <w:sdt>
      <w:sdtPr>
        <w:tag w:val="ox:22f02065-fac2-582e-b895-18bfd272059b"/>
        <w:id w:val="-436142618"/>
      </w:sdtPr>
      <w:sdtContent>
        <w:p w14:paraId="0AE76C75" w14:textId="77777777" w:rsidR="00B14F43" w:rsidRDefault="00000000">
          <w:pPr>
            <w:pStyle w:val="LO-normal"/>
          </w:pPr>
        </w:p>
      </w:sdtContent>
    </w:sdt>
    <w:sdt>
      <w:sdtPr>
        <w:tag w:val="ox:33fe07fc-2b4b-5630-b3b0-b01e40fd08c1"/>
        <w:id w:val="-711647800"/>
      </w:sdtPr>
      <w:sdtContent>
        <w:p w14:paraId="6B387D86" w14:textId="77777777" w:rsidR="00B14F43" w:rsidRDefault="00000000">
          <w:pPr>
            <w:pStyle w:val="LO-normal"/>
          </w:pPr>
          <w:r>
            <w:t>When assigning identifiers, define what kind of entity is being identified. This information must be provided as an available description and encoded where possible, using metadata landing pages [</w:t>
          </w:r>
          <w:hyperlink r:id="rId39" w:history="1">
            <w:r>
              <w:rPr>
                <w:color w:val="1155CC"/>
                <w:u w:val="single"/>
              </w:rPr>
              <w:t>2</w:t>
            </w:r>
          </w:hyperlink>
          <w:r>
            <w:t>][</w:t>
          </w:r>
          <w:hyperlink r:id="rId40" w:history="1">
            <w:r>
              <w:rPr>
                <w:color w:val="1155CC"/>
                <w:u w:val="single"/>
              </w:rPr>
              <w:t>13</w:t>
            </w:r>
          </w:hyperlink>
          <w:r>
            <w:t>].</w:t>
          </w:r>
        </w:p>
      </w:sdtContent>
    </w:sdt>
    <w:sdt>
      <w:sdtPr>
        <w:tag w:val="ox:ddd0e620-63ac-51b0-8a2f-67349b712d66"/>
        <w:id w:val="-637105445"/>
      </w:sdtPr>
      <w:sdtContent>
        <w:p w14:paraId="71346048" w14:textId="77777777" w:rsidR="00B14F43" w:rsidRDefault="00000000">
          <w:pPr>
            <w:pStyle w:val="Heading2"/>
            <w:contextualSpacing w:val="0"/>
          </w:pPr>
          <w:r>
            <w:t>Rule 6: Make URIs clear and findable</w:t>
          </w:r>
        </w:p>
      </w:sdtContent>
    </w:sdt>
    <w:sdt>
      <w:sdtPr>
        <w:tag w:val="ox:be9e0b89-50b9-55c0-bf20-0940c0d1bb5f"/>
        <w:id w:val="1387221371"/>
      </w:sdtPr>
      <w:sdtContent>
        <w:p w14:paraId="015EABDC" w14:textId="77777777" w:rsidR="00B14F43" w:rsidRDefault="00000000">
          <w:pPr>
            <w:pStyle w:val="LO-normal"/>
          </w:pPr>
          <w:r>
            <w:t xml:space="preserve">Make URIs obvious to users, especially where these differ from access URLs or application pages. For instance, at the record-level, advertise the “permanent link” together with a statement about persistence. </w:t>
          </w:r>
          <w:r>
            <w:rPr>
              <w:sz w:val="20"/>
            </w:rPr>
            <w:t xml:space="preserve">E.g. “The permanent link to this page, which will not change with the next release of </w:t>
          </w:r>
          <w:proofErr w:type="spellStart"/>
          <w:r>
            <w:rPr>
              <w:sz w:val="20"/>
            </w:rPr>
            <w:t>Ensembl</w:t>
          </w:r>
          <w:proofErr w:type="spellEnd"/>
          <w:r>
            <w:rPr>
              <w:sz w:val="20"/>
            </w:rPr>
            <w:t xml:space="preserve"> is: </w:t>
          </w:r>
          <w:hyperlink r:id="rId41" w:history="1">
            <w:r>
              <w:rPr>
                <w:rFonts w:ascii="Arial Narrow" w:hAnsi="Arial Narrow"/>
                <w:color w:val="0000FF"/>
                <w:sz w:val="20"/>
                <w:u w:val="single"/>
              </w:rPr>
              <w:t>http://Jul2015.archive.ensembl.org/Mus_musculus/Gene/Summary?g=ENSMUSG00000033577;r=9:80165031-80311729;redirect=no</w:t>
            </w:r>
          </w:hyperlink>
          <w:r>
            <w:rPr>
              <w:rFonts w:ascii="Arial Narrow" w:hAnsi="Arial Narrow"/>
              <w:sz w:val="20"/>
            </w:rPr>
            <w:t xml:space="preserve"> </w:t>
          </w:r>
          <w:r>
            <w:rPr>
              <w:sz w:val="20"/>
            </w:rPr>
            <w:t>We aim to maintain all archives for at least two years; some key releases may be maintained for longer”</w:t>
          </w:r>
        </w:p>
      </w:sdtContent>
    </w:sdt>
    <w:sdt>
      <w:sdtPr>
        <w:tag w:val="ox:17bf0031-834a-50f5-bfbb-cb10821dc5e8"/>
        <w:id w:val="1104070897"/>
      </w:sdtPr>
      <w:sdtContent>
        <w:p w14:paraId="27F3DA95" w14:textId="77777777" w:rsidR="00B14F43" w:rsidRDefault="00000000">
          <w:pPr>
            <w:pStyle w:val="LO-normal"/>
          </w:pPr>
        </w:p>
      </w:sdtContent>
    </w:sdt>
    <w:sdt>
      <w:sdtPr>
        <w:tag w:val="ox:f832ebff-5d3a-53f8-9f56-418797d00f80"/>
        <w:id w:val="911892991"/>
      </w:sdtPr>
      <w:sdtContent>
        <w:p w14:paraId="511560CB" w14:textId="77777777" w:rsidR="00B14F43" w:rsidRDefault="00000000">
          <w:pPr>
            <w:pStyle w:val="LO-normal"/>
          </w:pPr>
          <w:r>
            <w:t xml:space="preserve">For archived records that are </w:t>
          </w:r>
          <w:r>
            <w:rPr>
              <w:i/>
            </w:rPr>
            <w:t xml:space="preserve">out of date, </w:t>
          </w:r>
          <w:r>
            <w:t xml:space="preserve">make this clear to the user and provide a link to the updated version (see </w:t>
          </w:r>
          <w:hyperlink r:id="rId42" w:history="1">
            <w:r>
              <w:rPr>
                <w:color w:val="1155CC"/>
                <w:u w:val="single"/>
              </w:rPr>
              <w:t>http://www.uniprot.org/uniprot/P12345.1</w:t>
            </w:r>
          </w:hyperlink>
          <w:r>
            <w:rPr>
              <w:color w:val="1155CC"/>
              <w:u w:val="single"/>
            </w:rPr>
            <w:t>,</w:t>
          </w:r>
          <w:r>
            <w:t xml:space="preserve"> for instance). Although it is good practice for each database website to include general citation guidance for users, it is ideal to provide a “cite this” button at the level of each record.</w:t>
          </w:r>
        </w:p>
      </w:sdtContent>
    </w:sdt>
    <w:sdt>
      <w:sdtPr>
        <w:tag w:val="ox:1ea07668-2e26-5ca1-9f38-76b6147727e3"/>
        <w:id w:val="-1176797797"/>
      </w:sdtPr>
      <w:sdtContent>
        <w:p w14:paraId="3C2F28D8" w14:textId="77777777" w:rsidR="00B14F43" w:rsidRDefault="00000000">
          <w:pPr>
            <w:pStyle w:val="Heading2"/>
            <w:contextualSpacing w:val="0"/>
          </w:pPr>
          <w:r>
            <w:t>Rule 7: Implement a version-management policy</w:t>
          </w:r>
        </w:p>
      </w:sdtContent>
    </w:sdt>
    <w:sdt>
      <w:sdtPr>
        <w:tag w:val="ox:346f06e9-8764-5df1-b656-1d1532fd1d5f"/>
        <w:id w:val="-102342493"/>
      </w:sdtPr>
      <w:sdtContent>
        <w:p w14:paraId="783EC793" w14:textId="77777777" w:rsidR="00B14F43" w:rsidRDefault="00000000">
          <w:pPr>
            <w:pStyle w:val="LO-normal"/>
          </w:pPr>
          <w:r>
            <w:t xml:space="preserve">Changes in data resources impact how they can be referenced and used. If you issue identifiers, document the change history for the resource (see also </w:t>
          </w:r>
          <w:r>
            <w:rPr>
              <w:b/>
            </w:rPr>
            <w:t>Rule 8</w:t>
          </w:r>
          <w:r>
            <w:t xml:space="preserve">), or version the identifier itself, or do both and document these. </w:t>
          </w:r>
        </w:p>
      </w:sdtContent>
    </w:sdt>
    <w:sdt>
      <w:sdtPr>
        <w:tag w:val="ox:8ed84fbe-de4a-55e6-bb7c-0c5f55bf5d79"/>
        <w:id w:val="-1555074912"/>
      </w:sdtPr>
      <w:sdtContent>
        <w:p w14:paraId="1B7B3BD4" w14:textId="77777777" w:rsidR="00B14F43" w:rsidRDefault="00000000">
          <w:pPr>
            <w:pStyle w:val="LO-normal"/>
          </w:pPr>
        </w:p>
      </w:sdtContent>
    </w:sdt>
    <w:sdt>
      <w:sdtPr>
        <w:tag w:val="ox:1701fe85-1c8d-510c-a681-520c712d72f5"/>
        <w:id w:val="308294454"/>
      </w:sdtPr>
      <w:sdtContent>
        <w:p w14:paraId="61B2FD5E" w14:textId="77777777" w:rsidR="00B14F43" w:rsidRDefault="00000000">
          <w:pPr>
            <w:pStyle w:val="LO-normal"/>
          </w:pPr>
          <w:r>
            <w:t xml:space="preserve">Explicit versioning is recommended if prevailing use of an </w:t>
          </w:r>
          <w:proofErr w:type="spellStart"/>
          <w:r>
            <w:t>unversioned</w:t>
          </w:r>
          <w:proofErr w:type="spellEnd"/>
          <w:r>
            <w:t xml:space="preserve"> identifier results in “breaking changes” (e.g., a change in the hypothesized cause of a disease). However, if new information about the entity emerges slowly and the changes are “non-breaking”, it is reasonable to instead maintain a machine-actionable change history wherein the changes are also categorized. Versioning and change history work well together, especially when multiple types of changes overlap. Even when previous records are removed, the URI should continue to resolve, but to a </w:t>
          </w:r>
          <w:r>
            <w:rPr>
              <w:rFonts w:ascii="Consolas" w:hAnsi="Consolas"/>
            </w:rPr>
            <w:t>“tombstone” page</w:t>
          </w:r>
          <w:r>
            <w:t xml:space="preserve"> (</w:t>
          </w:r>
          <w:r>
            <w:rPr>
              <w:b/>
            </w:rPr>
            <w:t>Rule 8</w:t>
          </w:r>
          <w:r>
            <w:t xml:space="preserve">). </w:t>
          </w:r>
        </w:p>
      </w:sdtContent>
    </w:sdt>
    <w:sdt>
      <w:sdtPr>
        <w:tag w:val="ox:f73e7bf0-a133-5ea6-a382-a42b690c292b"/>
        <w:id w:val="-296678293"/>
      </w:sdtPr>
      <w:sdtContent>
        <w:p w14:paraId="2AAEF8AF" w14:textId="77777777" w:rsidR="00B14F43" w:rsidRDefault="00000000">
          <w:pPr>
            <w:pStyle w:val="LO-normal"/>
          </w:pPr>
        </w:p>
      </w:sdtContent>
    </w:sdt>
    <w:sdt>
      <w:sdtPr>
        <w:tag w:val="ox:e8a06248-2c31-59cd-bc5f-87fee942ae69"/>
        <w:id w:val="-1026405969"/>
      </w:sdtPr>
      <w:sdtContent>
        <w:p w14:paraId="15871CE1" w14:textId="77777777" w:rsidR="00B14F43" w:rsidRDefault="00000000">
          <w:pPr>
            <w:pStyle w:val="LO-normal"/>
          </w:pPr>
          <w:r>
            <w:t xml:space="preserve">A summary of versioning recommendations follows in </w:t>
          </w:r>
          <w:r>
            <w:rPr>
              <w:b/>
            </w:rPr>
            <w:t>Tables 2a and 2b</w:t>
          </w:r>
          <w:r>
            <w:t xml:space="preserve"> below. See Kratz et al. [</w:t>
          </w:r>
          <w:hyperlink r:id="rId43" w:history="1">
            <w:r>
              <w:rPr>
                <w:color w:val="1155CC"/>
                <w:u w:val="single"/>
              </w:rPr>
              <w:t>15</w:t>
            </w:r>
          </w:hyperlink>
          <w:r>
            <w:t xml:space="preserve">] for a more in-depth discussion of change management considerations. If you version identifiers at the level of the individual record, you must version in the LRI after the dot per </w:t>
          </w:r>
          <w:proofErr w:type="spellStart"/>
          <w:r>
            <w:t>UniProt</w:t>
          </w:r>
          <w:proofErr w:type="spellEnd"/>
          <w:r>
            <w:t xml:space="preserve"> in </w:t>
          </w:r>
          <w:r>
            <w:rPr>
              <w:b/>
            </w:rPr>
            <w:t>Table 2a</w:t>
          </w:r>
          <w:r>
            <w:t xml:space="preserve">; this provides continuity in your site and also enables a single CURIE prefix to be used with any version: </w:t>
          </w:r>
          <w:proofErr w:type="gramStart"/>
          <w:r>
            <w:rPr>
              <w:color w:val="0000FF"/>
            </w:rPr>
            <w:t>UniProt</w:t>
          </w:r>
          <w:r>
            <w:t>:P</w:t>
          </w:r>
          <w:proofErr w:type="gramEnd"/>
          <w:r>
            <w:t xml:space="preserve">12345.3 </w:t>
          </w:r>
          <w:r>
            <w:rPr>
              <w:rFonts w:ascii="Wingdings" w:hAnsi="Wingdings"/>
            </w:rPr>
            <w:t></w:t>
          </w:r>
          <w:r>
            <w:rPr>
              <w:b/>
              <w:color w:val="1155CC"/>
            </w:rPr>
            <w:t xml:space="preserve"> </w:t>
          </w:r>
          <w:hyperlink r:id="rId44" w:history="1">
            <w:r>
              <w:rPr>
                <w:color w:val="0000FF"/>
              </w:rPr>
              <w:t>http://www.uniprot.org/uniprot/</w:t>
            </w:r>
            <w:r>
              <w:t>P12345</w:t>
            </w:r>
            <w:r>
              <w:rPr>
                <w:b/>
              </w:rPr>
              <w:t>.3</w:t>
            </w:r>
          </w:hyperlink>
          <w:r>
            <w:rPr>
              <w:b/>
            </w:rPr>
            <w:t>.</w:t>
          </w:r>
        </w:p>
      </w:sdtContent>
    </w:sdt>
    <w:sdt>
      <w:sdtPr>
        <w:tag w:val="ox:b0856bd0-d1e1-5ae5-b2d7-5ed332f4c6e4"/>
        <w:id w:val="35018622"/>
      </w:sdtPr>
      <w:sdtContent>
        <w:p w14:paraId="7B6BAC44" w14:textId="77777777" w:rsidR="00B14F43" w:rsidRDefault="00000000">
          <w:pPr>
            <w:pStyle w:val="LO-normal"/>
          </w:pPr>
        </w:p>
      </w:sdtContent>
    </w:sdt>
    <w:sdt>
      <w:sdtPr>
        <w:tag w:val="ox:9a3faab8-db40-58d0-a98b-5b8a00bbd9bd"/>
        <w:id w:val="-874927932"/>
      </w:sdtPr>
      <w:sdtContent>
        <w:p w14:paraId="6CBCA64F" w14:textId="77777777" w:rsidR="00B14F43" w:rsidRDefault="00000000">
          <w:pPr>
            <w:pStyle w:val="LO-normal"/>
          </w:pPr>
          <w:r>
            <w:rPr>
              <w:b/>
            </w:rPr>
            <w:t>Table 2a. Recommendation for record-level versioning with URIs</w:t>
          </w:r>
        </w:p>
      </w:sdtContent>
    </w:sdt>
    <w:sdt>
      <w:sdtPr>
        <w:tag w:val="ox:983ca334-2337-59be-92bb-fda19418ce5e"/>
        <w:id w:val="-741715917"/>
      </w:sdtPr>
      <w:sdtContent>
        <w:tbl>
          <w:tblPr>
            <w:tblW w:w="10207" w:type="dxa"/>
            <w:tblInd w:w="-1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11" w:type="dxa"/>
              <w:left w:w="21" w:type="dxa"/>
              <w:bottom w:w="11" w:type="dxa"/>
              <w:right w:w="31" w:type="dxa"/>
            </w:tblCellMar>
            <w:tblLook w:val="0000" w:firstRow="0" w:lastRow="0" w:firstColumn="0" w:lastColumn="0" w:noHBand="0" w:noVBand="0"/>
          </w:tblPr>
          <w:tblGrid>
            <w:gridCol w:w="6110"/>
            <w:gridCol w:w="4097"/>
          </w:tblGrid>
          <w:tr w:rsidR="00B14F43" w14:paraId="4B3781BA"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C451D69" w14:textId="77777777" w:rsidR="00B14F43" w:rsidRDefault="00000000">
                <w:pPr>
                  <w:widowControl w:val="0"/>
                  <w:jc w:val="left"/>
                  <w:rPr>
                    <w:b/>
                    <w:sz w:val="20"/>
                    <w:szCs w:val="20"/>
                  </w:rPr>
                </w:pPr>
                <w:r>
                  <w:rPr>
                    <w:b/>
                    <w:sz w:val="20"/>
                    <w:szCs w:val="20"/>
                  </w:rPr>
                  <w:t>Recommendation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2861099" w14:textId="77777777" w:rsidR="00B14F43" w:rsidRDefault="00000000">
                <w:pPr>
                  <w:widowControl w:val="0"/>
                  <w:spacing w:line="200" w:lineRule="exact"/>
                  <w:jc w:val="center"/>
                  <w:rPr>
                    <w:b/>
                    <w:sz w:val="20"/>
                    <w:szCs w:val="20"/>
                  </w:rPr>
                </w:pPr>
                <w:r>
                  <w:rPr>
                    <w:b/>
                    <w:sz w:val="20"/>
                    <w:szCs w:val="20"/>
                  </w:rPr>
                  <w:t xml:space="preserve">Example </w:t>
                </w:r>
              </w:p>
              <w:p w14:paraId="0C37940E" w14:textId="77777777" w:rsidR="00B14F43" w:rsidRDefault="00000000">
                <w:pPr>
                  <w:widowControl w:val="0"/>
                  <w:spacing w:line="200" w:lineRule="exact"/>
                  <w:jc w:val="center"/>
                  <w:rPr>
                    <w:b/>
                    <w:sz w:val="20"/>
                    <w:szCs w:val="20"/>
                  </w:rPr>
                </w:pPr>
                <w:r>
                  <w:rPr>
                    <w:b/>
                    <w:sz w:val="20"/>
                    <w:szCs w:val="20"/>
                  </w:rPr>
                  <w:t>(for clarity, LRI only is shown)</w:t>
                </w:r>
              </w:p>
            </w:tc>
          </w:tr>
          <w:tr w:rsidR="00B14F43" w14:paraId="10DD8645"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B788F98" w14:textId="77777777" w:rsidR="00B14F43" w:rsidRDefault="00000000">
                <w:pPr>
                  <w:widowControl w:val="0"/>
                  <w:jc w:val="left"/>
                  <w:rPr>
                    <w:sz w:val="20"/>
                    <w:szCs w:val="20"/>
                  </w:rPr>
                </w:pPr>
                <w:r>
                  <w:rPr>
                    <w:sz w:val="20"/>
                    <w:szCs w:val="20"/>
                  </w:rPr>
                  <w:t xml:space="preserve">Version information should </w:t>
                </w:r>
                <w:proofErr w:type="gramStart"/>
                <w:r>
                  <w:rPr>
                    <w:sz w:val="20"/>
                    <w:szCs w:val="20"/>
                  </w:rPr>
                  <w:t>follow after</w:t>
                </w:r>
                <w:proofErr w:type="gramEnd"/>
                <w:r>
                  <w:rPr>
                    <w:sz w:val="20"/>
                    <w:szCs w:val="20"/>
                  </w:rPr>
                  <w:t xml:space="preserve"> a dot</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4B297796"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P12345.3</w:t>
                </w:r>
              </w:p>
            </w:tc>
          </w:tr>
          <w:tr w:rsidR="00B14F43" w14:paraId="527887BA"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D74B134" w14:textId="77777777" w:rsidR="00B14F43" w:rsidRDefault="00000000">
                <w:pPr>
                  <w:widowControl w:val="0"/>
                  <w:jc w:val="left"/>
                  <w:rPr>
                    <w:sz w:val="20"/>
                    <w:szCs w:val="20"/>
                  </w:rPr>
                </w:pPr>
                <w:r>
                  <w:rPr>
                    <w:sz w:val="20"/>
                    <w:szCs w:val="20"/>
                  </w:rPr>
                  <w:t>Base resource must resolve (302 redirect) to most recent version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0BECAD8"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w:t>
                </w:r>
              </w:p>
            </w:tc>
          </w:tr>
          <w:tr w:rsidR="00B14F43" w14:paraId="5C4544EE"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4FBBA71" w14:textId="77777777" w:rsidR="00B14F43" w:rsidRDefault="00000000">
                <w:pPr>
                  <w:widowControl w:val="0"/>
                  <w:jc w:val="left"/>
                  <w:rPr>
                    <w:sz w:val="20"/>
                    <w:szCs w:val="20"/>
                  </w:rPr>
                </w:pPr>
                <w:r>
                  <w:rPr>
                    <w:sz w:val="20"/>
                    <w:szCs w:val="20"/>
                  </w:rPr>
                  <w:t>Base resource should be deterministically convertible from version</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82C7303"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P12345.1 to P12345</w:t>
                </w:r>
              </w:p>
            </w:tc>
          </w:tr>
          <w:tr w:rsidR="00B14F43" w14:paraId="0B7DDDC1"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68724EA0" w14:textId="77777777" w:rsidR="00B14F43" w:rsidRDefault="00000000">
                <w:pPr>
                  <w:widowControl w:val="0"/>
                  <w:jc w:val="left"/>
                  <w:rPr>
                    <w:sz w:val="20"/>
                    <w:szCs w:val="20"/>
                  </w:rPr>
                </w:pPr>
                <w:r>
                  <w:rPr>
                    <w:sz w:val="20"/>
                    <w:szCs w:val="20"/>
                  </w:rPr>
                  <w:t>Older versions must resolve</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43F4D1C"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P12345.1</w:t>
                </w:r>
              </w:p>
            </w:tc>
          </w:tr>
          <w:tr w:rsidR="00B14F43" w14:paraId="08D2827D"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6B0D987" w14:textId="77777777" w:rsidR="00B14F43" w:rsidRDefault="00000000">
                <w:pPr>
                  <w:widowControl w:val="0"/>
                  <w:jc w:val="left"/>
                  <w:rPr>
                    <w:sz w:val="20"/>
                    <w:szCs w:val="20"/>
                  </w:rPr>
                </w:pPr>
                <w:r>
                  <w:rPr>
                    <w:sz w:val="20"/>
                    <w:szCs w:val="20"/>
                  </w:rPr>
                  <w:t xml:space="preserve">Illegal or invalid version must produce an informative error message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995F485"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P12345.302</w:t>
                </w:r>
              </w:p>
            </w:tc>
          </w:tr>
          <w:tr w:rsidR="00B14F43" w14:paraId="30DC5EB3"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EE4A5BE" w14:textId="77777777" w:rsidR="00B14F43" w:rsidRDefault="00000000">
                <w:pPr>
                  <w:widowControl w:val="0"/>
                  <w:jc w:val="left"/>
                  <w:rPr>
                    <w:sz w:val="20"/>
                    <w:szCs w:val="20"/>
                  </w:rPr>
                </w:pPr>
                <w:r>
                  <w:rPr>
                    <w:sz w:val="20"/>
                    <w:szCs w:val="20"/>
                  </w:rPr>
                  <w:t>Link from older version to current version must be provided</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74B72391"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P12345.3</w:t>
                </w:r>
              </w:p>
            </w:tc>
          </w:tr>
          <w:tr w:rsidR="00B14F43" w14:paraId="0DDC72FB"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129B798" w14:textId="77777777" w:rsidR="00B14F43" w:rsidRDefault="00000000">
                <w:pPr>
                  <w:widowControl w:val="0"/>
                  <w:jc w:val="left"/>
                  <w:rPr>
                    <w:sz w:val="20"/>
                    <w:szCs w:val="20"/>
                  </w:rPr>
                </w:pPr>
                <w:r>
                  <w:rPr>
                    <w:sz w:val="20"/>
                    <w:szCs w:val="20"/>
                  </w:rPr>
                  <w:t xml:space="preserve">A list of all previous versions should be available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8750F66" w14:textId="77777777" w:rsidR="00B14F43" w:rsidRDefault="00000000">
                <w:pPr>
                  <w:widowControl w:val="0"/>
                  <w:jc w:val="center"/>
                  <w:rPr>
                    <w:rStyle w:val="InternetLink"/>
                    <w:rFonts w:ascii="Consolas" w:eastAsia="Consolas" w:hAnsi="Consolas" w:cs="Consolas"/>
                    <w:color w:val="1155CC"/>
                    <w:sz w:val="20"/>
                    <w:szCs w:val="20"/>
                  </w:rPr>
                </w:pPr>
                <w:r>
                  <w:rPr>
                    <w:rStyle w:val="InternetLink"/>
                    <w:rFonts w:ascii="Consolas" w:eastAsia="Consolas" w:hAnsi="Consolas" w:cs="Consolas"/>
                    <w:color w:val="1155CC"/>
                    <w:sz w:val="20"/>
                    <w:szCs w:val="20"/>
                  </w:rPr>
                  <w:t>P12345 (see ‘history’ tab in user interface)</w:t>
                </w:r>
              </w:p>
            </w:tc>
          </w:tr>
          <w:tr w:rsidR="00B14F43" w14:paraId="376C1296" w14:textId="77777777">
            <w:tc>
              <w:tcPr>
                <w:tcW w:w="6110"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D33C021" w14:textId="77777777" w:rsidR="00B14F43" w:rsidRDefault="00000000">
                <w:pPr>
                  <w:widowControl w:val="0"/>
                  <w:jc w:val="left"/>
                  <w:rPr>
                    <w:sz w:val="20"/>
                    <w:szCs w:val="20"/>
                  </w:rPr>
                </w:pPr>
                <w:r>
                  <w:rPr>
                    <w:sz w:val="20"/>
                    <w:szCs w:val="20"/>
                  </w:rPr>
                  <w:t xml:space="preserve">Two versions (or dates) should be comparable </w:t>
                </w:r>
              </w:p>
            </w:tc>
            <w:tc>
              <w:tcPr>
                <w:tcW w:w="409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55E8DA1" w14:textId="77777777" w:rsidR="00B14F43" w:rsidRDefault="00000000">
                <w:pPr>
                  <w:widowControl w:val="0"/>
                  <w:jc w:val="center"/>
                  <w:rPr>
                    <w:rStyle w:val="InternetLink"/>
                    <w:rFonts w:ascii="Arial Narrow" w:eastAsia="Arial Narrow" w:hAnsi="Arial Narrow" w:cs="Arial Narrow"/>
                    <w:color w:val="1155CC"/>
                    <w:sz w:val="20"/>
                    <w:szCs w:val="20"/>
                  </w:rPr>
                </w:pPr>
                <w:r>
                  <w:rPr>
                    <w:rStyle w:val="InternetLink"/>
                    <w:rFonts w:ascii="Arial Narrow" w:eastAsia="Arial Narrow" w:hAnsi="Arial Narrow" w:cs="Arial Narrow"/>
                    <w:color w:val="1155CC"/>
                    <w:sz w:val="20"/>
                    <w:szCs w:val="20"/>
                  </w:rPr>
                  <w:t xml:space="preserve">http://www.uniprot.org/uniprot/P12345?version=* </w:t>
                </w:r>
              </w:p>
            </w:tc>
          </w:tr>
        </w:tbl>
      </w:sdtContent>
    </w:sdt>
    <w:sdt>
      <w:sdtPr>
        <w:tag w:val="ox:844520b0-7feb-5673-a852-f0858ac63dd5"/>
        <w:id w:val="276219454"/>
      </w:sdtPr>
      <w:sdtContent>
        <w:p w14:paraId="4811C7B4" w14:textId="77777777" w:rsidR="00B14F43" w:rsidRDefault="00000000">
          <w:pPr>
            <w:pStyle w:val="LO-normal"/>
          </w:pPr>
        </w:p>
      </w:sdtContent>
    </w:sdt>
    <w:sdt>
      <w:sdtPr>
        <w:tag w:val="ox:f3a016ca-823e-5923-a2aa-7dd66f2e39a9"/>
        <w:id w:val="-1355341148"/>
      </w:sdtPr>
      <w:sdtContent>
        <w:p w14:paraId="6D271B9B" w14:textId="77777777" w:rsidR="00B14F43" w:rsidRDefault="00000000">
          <w:pPr>
            <w:pStyle w:val="LO-normal"/>
          </w:pPr>
          <w:r>
            <w:rPr>
              <w:b/>
            </w:rPr>
            <w:t>Table 2b. Recommendation for database-release versioning with URIs</w:t>
          </w:r>
        </w:p>
      </w:sdtContent>
    </w:sdt>
    <w:sdt>
      <w:sdtPr>
        <w:tag w:val="ox:7e2bfc28-98a1-5933-8c9c-7e93a780c01b"/>
        <w:id w:val="1019045395"/>
      </w:sdtPr>
      <w:sdtContent>
        <w:tbl>
          <w:tblPr>
            <w:tblStyle w:val="TableGrid"/>
            <w:tblW w:w="10207" w:type="dxa"/>
            <w:tblInd w:w="-125" w:type="dxa"/>
            <w:tblLayout w:type="fixed"/>
            <w:tblCellMar>
              <w:left w:w="17" w:type="dxa"/>
              <w:right w:w="17" w:type="dxa"/>
            </w:tblCellMar>
            <w:tblLook w:val="04A0" w:firstRow="1" w:lastRow="0" w:firstColumn="1" w:lastColumn="0" w:noHBand="0" w:noVBand="1"/>
          </w:tblPr>
          <w:tblGrid>
            <w:gridCol w:w="1702"/>
            <w:gridCol w:w="8505"/>
          </w:tblGrid>
          <w:tr w:rsidR="00B14F43" w14:paraId="42C3D387" w14:textId="77777777">
            <w:tc>
              <w:tcPr>
                <w:tcW w:w="1702" w:type="dxa"/>
                <w:vAlign w:val="center"/>
              </w:tcPr>
              <w:p w14:paraId="105AF3A3" w14:textId="77777777" w:rsidR="00B14F43" w:rsidRDefault="00000000">
                <w:pPr>
                  <w:jc w:val="left"/>
                  <w:rPr>
                    <w:b/>
                    <w:bCs/>
                    <w:spacing w:val="-6"/>
                    <w:sz w:val="20"/>
                    <w:szCs w:val="20"/>
                  </w:rPr>
                </w:pPr>
                <w:r>
                  <w:rPr>
                    <w:b/>
                    <w:bCs/>
                    <w:spacing w:val="-6"/>
                    <w:sz w:val="20"/>
                    <w:szCs w:val="20"/>
                  </w:rPr>
                  <w:t>Recommendation</w:t>
                </w:r>
              </w:p>
            </w:tc>
            <w:tc>
              <w:tcPr>
                <w:tcW w:w="8505" w:type="dxa"/>
              </w:tcPr>
              <w:p w14:paraId="0C415E1A" w14:textId="77777777" w:rsidR="00B14F43" w:rsidRDefault="00000000">
                <w:pPr>
                  <w:jc w:val="left"/>
                  <w:rPr>
                    <w:sz w:val="20"/>
                    <w:szCs w:val="20"/>
                  </w:rPr>
                </w:pPr>
                <w:r>
                  <w:rPr>
                    <w:sz w:val="20"/>
                    <w:szCs w:val="20"/>
                  </w:rPr>
                  <w:t>Versioning may be done in the namespace (and ideally prefix)</w:t>
                </w:r>
              </w:p>
            </w:tc>
          </w:tr>
          <w:tr w:rsidR="00B14F43" w14:paraId="08A67DF9" w14:textId="77777777">
            <w:tc>
              <w:tcPr>
                <w:tcW w:w="1702" w:type="dxa"/>
                <w:vAlign w:val="center"/>
              </w:tcPr>
              <w:p w14:paraId="6D96B1D7" w14:textId="77777777" w:rsidR="00B14F43" w:rsidRDefault="00000000">
                <w:pPr>
                  <w:jc w:val="left"/>
                  <w:rPr>
                    <w:b/>
                    <w:bCs/>
                    <w:spacing w:val="-6"/>
                    <w:sz w:val="20"/>
                    <w:szCs w:val="20"/>
                  </w:rPr>
                </w:pPr>
                <w:r>
                  <w:rPr>
                    <w:b/>
                    <w:bCs/>
                    <w:spacing w:val="-6"/>
                    <w:sz w:val="20"/>
                    <w:szCs w:val="20"/>
                  </w:rPr>
                  <w:t>URI example</w:t>
                </w:r>
              </w:p>
            </w:tc>
            <w:tc>
              <w:tcPr>
                <w:tcW w:w="8505" w:type="dxa"/>
              </w:tcPr>
              <w:p w14:paraId="4931701A" w14:textId="77777777" w:rsidR="00B14F43" w:rsidRDefault="00000000">
                <w:pPr>
                  <w:jc w:val="left"/>
                  <w:rPr>
                    <w:rStyle w:val="InternetLink"/>
                    <w:bCs/>
                    <w:color w:val="auto"/>
                    <w:spacing w:val="-8"/>
                    <w:sz w:val="20"/>
                    <w:szCs w:val="20"/>
                    <w:u w:val="none"/>
                  </w:rPr>
                </w:pPr>
                <w:r>
                  <w:rPr>
                    <w:rStyle w:val="InternetLink"/>
                    <w:bCs/>
                    <w:color w:val="auto"/>
                    <w:spacing w:val="-8"/>
                    <w:sz w:val="20"/>
                    <w:szCs w:val="20"/>
                    <w:u w:val="none"/>
                  </w:rPr>
                  <w:t>http://Jul2015.archive.ensembl.org/Mus_musculus/Gene/Summary?g=ENSMUSG00000033577</w:t>
                </w:r>
              </w:p>
            </w:tc>
          </w:tr>
          <w:tr w:rsidR="00B14F43" w14:paraId="33F6D7D8" w14:textId="77777777">
            <w:tc>
              <w:tcPr>
                <w:tcW w:w="1702" w:type="dxa"/>
                <w:vAlign w:val="center"/>
              </w:tcPr>
              <w:p w14:paraId="763B7BD7" w14:textId="77777777" w:rsidR="00B14F43" w:rsidRDefault="00000000">
                <w:pPr>
                  <w:jc w:val="left"/>
                  <w:rPr>
                    <w:b/>
                    <w:bCs/>
                    <w:spacing w:val="-6"/>
                    <w:sz w:val="20"/>
                    <w:szCs w:val="20"/>
                  </w:rPr>
                </w:pPr>
                <w:r>
                  <w:rPr>
                    <w:b/>
                    <w:bCs/>
                    <w:spacing w:val="-6"/>
                    <w:sz w:val="20"/>
                    <w:szCs w:val="20"/>
                  </w:rPr>
                  <w:t>CURIE example</w:t>
                </w:r>
              </w:p>
            </w:tc>
            <w:tc>
              <w:tcPr>
                <w:tcW w:w="8505" w:type="dxa"/>
              </w:tcPr>
              <w:p w14:paraId="630AE4C2" w14:textId="77777777" w:rsidR="00B14F43" w:rsidRDefault="00000000">
                <w:pPr>
                  <w:jc w:val="left"/>
                  <w:rPr>
                    <w:rStyle w:val="Hyperlink"/>
                    <w:rFonts w:ascii="Consolas" w:hAnsi="Consolas"/>
                    <w:color w:val="auto"/>
                    <w:spacing w:val="-4"/>
                    <w:sz w:val="20"/>
                    <w:szCs w:val="20"/>
                  </w:rPr>
                </w:pPr>
                <w:r>
                  <w:rPr>
                    <w:rStyle w:val="Hyperlink"/>
                    <w:rFonts w:ascii="Consolas" w:hAnsi="Consolas"/>
                    <w:color w:val="auto"/>
                    <w:spacing w:val="-4"/>
                    <w:sz w:val="20"/>
                    <w:szCs w:val="20"/>
                  </w:rPr>
                  <w:t>ENSEMBL-2015-07-</w:t>
                </w:r>
                <w:proofErr w:type="gramStart"/>
                <w:r>
                  <w:rPr>
                    <w:rStyle w:val="Hyperlink"/>
                    <w:rFonts w:ascii="Consolas" w:hAnsi="Consolas"/>
                    <w:color w:val="auto"/>
                    <w:spacing w:val="-4"/>
                    <w:sz w:val="20"/>
                    <w:szCs w:val="20"/>
                  </w:rPr>
                  <w:t>MUSG:ENSMUSG</w:t>
                </w:r>
                <w:proofErr w:type="gramEnd"/>
                <w:r>
                  <w:rPr>
                    <w:rStyle w:val="Hyperlink"/>
                    <w:rFonts w:ascii="Consolas" w:hAnsi="Consolas"/>
                    <w:color w:val="auto"/>
                    <w:spacing w:val="-4"/>
                    <w:sz w:val="20"/>
                    <w:szCs w:val="20"/>
                  </w:rPr>
                  <w:t>00000033577</w:t>
                </w:r>
              </w:p>
            </w:tc>
          </w:tr>
        </w:tbl>
      </w:sdtContent>
    </w:sdt>
    <w:sdt>
      <w:sdtPr>
        <w:tag w:val="ox:9fb5c90f-54c3-501c-9bda-f70edfc409aa"/>
        <w:id w:val="928625834"/>
      </w:sdtPr>
      <w:sdtContent>
        <w:p w14:paraId="1FC34C7E" w14:textId="77777777" w:rsidR="00B14F43" w:rsidRDefault="00000000">
          <w:pPr>
            <w:pStyle w:val="LO-normal"/>
          </w:pPr>
        </w:p>
      </w:sdtContent>
    </w:sdt>
    <w:sdt>
      <w:sdtPr>
        <w:tag w:val="ox:35b72586-1e30-5da9-bd58-111e16b955eb"/>
        <w:id w:val="1027208675"/>
      </w:sdtPr>
      <w:sdtContent>
        <w:p w14:paraId="225A3B24" w14:textId="77777777" w:rsidR="00B14F43" w:rsidRDefault="00000000">
          <w:pPr>
            <w:pStyle w:val="Heading2"/>
            <w:contextualSpacing w:val="0"/>
          </w:pPr>
          <w:r>
            <w:t>Rule 8: Do not reassign or delete identifiers</w:t>
          </w:r>
        </w:p>
      </w:sdtContent>
    </w:sdt>
    <w:sdt>
      <w:sdtPr>
        <w:tag w:val="ox:0a35dec2-3c12-5dad-a061-31afe17f853b"/>
        <w:id w:val="2040476878"/>
      </w:sdtPr>
      <w:sdtContent>
        <w:p w14:paraId="7A9BA4D9" w14:textId="77777777" w:rsidR="00B14F43" w:rsidRDefault="00000000">
          <w:pPr>
            <w:pStyle w:val="LO-normal"/>
          </w:pPr>
          <w:r>
            <w:t>Identifiers generated and publicly advertised must never be reassigned to a different record or deleted. If you issue identifiers, consider their full lifecycle: there is a fundamental difference between identifiers which point to experimental datasets (GenBank/ENA/DDBJ, PRIDE, etc.) and identifiers which point to a current understanding of a biological concept (</w:t>
          </w:r>
          <w:proofErr w:type="spellStart"/>
          <w:r>
            <w:t>Ensembl</w:t>
          </w:r>
          <w:proofErr w:type="spellEnd"/>
          <w:r>
            <w:t xml:space="preserve"> Gene, </w:t>
          </w:r>
          <w:proofErr w:type="spellStart"/>
          <w:r>
            <w:t>UniProt</w:t>
          </w:r>
          <w:proofErr w:type="spellEnd"/>
          <w:r>
            <w:t xml:space="preserve"> record, etc.). While experimental records are less likely to change, concept descriptions may evolve rapidly; even the nature </w:t>
          </w:r>
          <w:r>
            <w:lastRenderedPageBreak/>
            <w:t xml:space="preserve">and number of the relevant metadata fields change over time. Moreover, the very notion of identity is often strongly impacted by relationships (e.g., between concepts or processes). </w:t>
          </w:r>
        </w:p>
      </w:sdtContent>
    </w:sdt>
    <w:sdt>
      <w:sdtPr>
        <w:tag w:val="ox:88e99f37-3457-5314-b7fc-1529e85397a3"/>
        <w:id w:val="292025175"/>
      </w:sdtPr>
      <w:sdtContent>
        <w:p w14:paraId="401011B1" w14:textId="77777777" w:rsidR="00B14F43" w:rsidRDefault="00000000">
          <w:pPr>
            <w:pStyle w:val="LO-normal"/>
          </w:pPr>
        </w:p>
      </w:sdtContent>
    </w:sdt>
    <w:sdt>
      <w:sdtPr>
        <w:tag w:val="ox:fb1ead61-f71f-50a6-94bb-deae21a9059f"/>
        <w:id w:val="-1333219567"/>
      </w:sdtPr>
      <w:sdtContent>
        <w:p w14:paraId="43838CB1" w14:textId="77777777" w:rsidR="00B14F43" w:rsidRDefault="00000000">
          <w:pPr>
            <w:pStyle w:val="LO-normal"/>
          </w:pPr>
          <w:r>
            <w:t>Extensive changes cannot be captured with numerical suffixing alone. For instance, taxonomists may split or merge species, pathologists may split or merge diseases, or hypothesized entities may be proven not to exist (e.g. vaccine-induced autism). Global initiatives (</w:t>
          </w:r>
          <w:r>
            <w:rPr>
              <w:b/>
            </w:rPr>
            <w:t>Text S1</w:t>
          </w:r>
          <w:r>
            <w:t xml:space="preserve">) are actively exploring identifier strategies for such use cases. In the meantime, consider </w:t>
          </w:r>
          <w:r>
            <w:rPr>
              <w:b/>
            </w:rPr>
            <w:t xml:space="preserve">Table 3 </w:t>
          </w:r>
          <w:r>
            <w:t>recommendations.</w:t>
          </w:r>
        </w:p>
      </w:sdtContent>
    </w:sdt>
    <w:sdt>
      <w:sdtPr>
        <w:tag w:val="ox:017a5ffa-e580-5a72-9f61-50a013217d67"/>
        <w:id w:val="2051111860"/>
      </w:sdtPr>
      <w:sdtContent>
        <w:p w14:paraId="28B93087" w14:textId="77777777" w:rsidR="00B14F43" w:rsidRDefault="00000000">
          <w:pPr>
            <w:pStyle w:val="LO-normal"/>
          </w:pPr>
        </w:p>
      </w:sdtContent>
    </w:sdt>
    <w:sdt>
      <w:sdtPr>
        <w:tag w:val="ox:54dd02c0-fead-5bce-b566-1d25635220cf"/>
        <w:id w:val="-63415190"/>
      </w:sdtPr>
      <w:sdtContent>
        <w:p w14:paraId="638776CB" w14:textId="77777777" w:rsidR="00B14F43" w:rsidRDefault="00000000">
          <w:pPr>
            <w:pStyle w:val="LO-normal"/>
          </w:pPr>
          <w:r>
            <w:rPr>
              <w:b/>
            </w:rPr>
            <w:t>Table 3. Recommendations for identifier lifecycle management</w:t>
          </w:r>
        </w:p>
      </w:sdtContent>
    </w:sdt>
    <w:sdt>
      <w:sdtPr>
        <w:tag w:val="ox:80cc0cef-b32e-5521-ade3-4a7465980a6c"/>
        <w:id w:val="-1604654377"/>
      </w:sdtPr>
      <w:sdtContent>
        <w:tbl>
          <w:tblPr>
            <w:tblW w:w="0" w:type="auto"/>
            <w:tblInd w:w="21" w:type="dxa"/>
            <w:tblBorders>
              <w:top w:val="single" w:sz="8" w:space="0" w:color="666666"/>
              <w:left w:val="single" w:sz="8" w:space="0" w:color="666666"/>
              <w:bottom w:val="single" w:sz="8" w:space="0" w:color="666666"/>
              <w:right w:val="single" w:sz="8" w:space="0" w:color="666666"/>
              <w:insideH w:val="single" w:sz="8" w:space="0" w:color="666666"/>
              <w:insideV w:val="single" w:sz="8" w:space="0" w:color="666666"/>
            </w:tblBorders>
            <w:tblCellMar>
              <w:top w:w="31" w:type="dxa"/>
              <w:left w:w="21" w:type="dxa"/>
              <w:bottom w:w="31" w:type="dxa"/>
              <w:right w:w="31" w:type="dxa"/>
            </w:tblCellMar>
            <w:tblLook w:val="0000" w:firstRow="0" w:lastRow="0" w:firstColumn="0" w:lastColumn="0" w:noHBand="0" w:noVBand="0"/>
          </w:tblPr>
          <w:tblGrid>
            <w:gridCol w:w="6510"/>
            <w:gridCol w:w="3423"/>
          </w:tblGrid>
          <w:tr w:rsidR="00B14F43" w14:paraId="59DE7DE5"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EE53C16" w14:textId="77777777" w:rsidR="00B14F43" w:rsidRDefault="00000000">
                <w:pPr>
                  <w:rPr>
                    <w:b/>
                    <w:sz w:val="20"/>
                    <w:szCs w:val="20"/>
                  </w:rPr>
                </w:pPr>
                <w:r>
                  <w:rPr>
                    <w:b/>
                    <w:sz w:val="20"/>
                    <w:szCs w:val="20"/>
                  </w:rPr>
                  <w:t>Recommended handling</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1B3EF8E1" w14:textId="77777777" w:rsidR="00B14F43" w:rsidRDefault="00000000">
                <w:pPr>
                  <w:jc w:val="center"/>
                  <w:rPr>
                    <w:b/>
                    <w:sz w:val="20"/>
                    <w:szCs w:val="20"/>
                  </w:rPr>
                </w:pPr>
                <w:r>
                  <w:rPr>
                    <w:b/>
                    <w:sz w:val="20"/>
                    <w:szCs w:val="20"/>
                  </w:rPr>
                  <w:t>Example</w:t>
                </w:r>
              </w:p>
            </w:tc>
          </w:tr>
          <w:tr w:rsidR="00B14F43" w14:paraId="3821EA63"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47908FD6" w14:textId="77777777" w:rsidR="00B14F43" w:rsidRDefault="00000000">
                <w:pPr>
                  <w:spacing w:line="220" w:lineRule="exact"/>
                  <w:jc w:val="left"/>
                  <w:rPr>
                    <w:b/>
                    <w:sz w:val="20"/>
                    <w:szCs w:val="20"/>
                  </w:rPr>
                </w:pPr>
                <w:r>
                  <w:rPr>
                    <w:b/>
                    <w:sz w:val="20"/>
                    <w:szCs w:val="20"/>
                  </w:rPr>
                  <w:t xml:space="preserve">Obsoletion: If an entry has been removed or deprecated, the original identifier must still resolve to a ‘tombstone page’. Reasons for obsolescence should be indicated. If the obsoleted ID is replaced by another ID, the replacement must be present </w:t>
                </w:r>
                <w:proofErr w:type="gramStart"/>
                <w:r>
                  <w:rPr>
                    <w:b/>
                    <w:sz w:val="20"/>
                    <w:szCs w:val="20"/>
                  </w:rPr>
                  <w:t>and also</w:t>
                </w:r>
                <w:proofErr w:type="gramEnd"/>
                <w:r>
                  <w:rPr>
                    <w:b/>
                    <w:sz w:val="20"/>
                    <w:szCs w:val="20"/>
                  </w:rPr>
                  <w:t xml:space="preserve"> described as automatic or suggested, preferably using the ontology properties </w:t>
                </w:r>
                <w:proofErr w:type="spellStart"/>
                <w:proofErr w:type="gramStart"/>
                <w:r>
                  <w:rPr>
                    <w:b/>
                    <w:sz w:val="20"/>
                    <w:szCs w:val="20"/>
                  </w:rPr>
                  <w:t>iao:replaced</w:t>
                </w:r>
                <w:proofErr w:type="gramEnd"/>
                <w:r>
                  <w:rPr>
                    <w:b/>
                    <w:sz w:val="20"/>
                    <w:szCs w:val="20"/>
                  </w:rPr>
                  <w:t>_by</w:t>
                </w:r>
                <w:proofErr w:type="spellEnd"/>
                <w:r>
                  <w:rPr>
                    <w:b/>
                    <w:sz w:val="20"/>
                    <w:szCs w:val="20"/>
                  </w:rPr>
                  <w:t xml:space="preserve"> and </w:t>
                </w:r>
                <w:proofErr w:type="spellStart"/>
                <w:proofErr w:type="gramStart"/>
                <w:r>
                  <w:rPr>
                    <w:b/>
                    <w:sz w:val="20"/>
                    <w:szCs w:val="20"/>
                  </w:rPr>
                  <w:t>obo:consider</w:t>
                </w:r>
                <w:proofErr w:type="spellEnd"/>
                <w:proofErr w:type="gramEnd"/>
                <w:r>
                  <w:rPr>
                    <w:b/>
                    <w:sz w:val="20"/>
                    <w:szCs w:val="20"/>
                  </w:rPr>
                  <w:t xml:space="preserve">, respectively. </w:t>
                </w:r>
              </w:p>
              <w:p w14:paraId="0FEACFD3" w14:textId="77777777" w:rsidR="00B14F43" w:rsidRDefault="00B14F43">
                <w:pPr>
                  <w:spacing w:line="220" w:lineRule="exact"/>
                  <w:jc w:val="left"/>
                  <w:rPr>
                    <w:b/>
                    <w:sz w:val="20"/>
                    <w:szCs w:val="20"/>
                  </w:rPr>
                </w:pPr>
              </w:p>
              <w:p w14:paraId="3E338547" w14:textId="77777777" w:rsidR="00B14F43" w:rsidRDefault="00000000">
                <w:pPr>
                  <w:spacing w:line="220" w:lineRule="exact"/>
                  <w:jc w:val="left"/>
                  <w:rPr>
                    <w:b/>
                    <w:sz w:val="20"/>
                    <w:szCs w:val="20"/>
                  </w:rPr>
                </w:pPr>
                <w:r>
                  <w:rPr>
                    <w:b/>
                    <w:sz w:val="20"/>
                    <w:szCs w:val="20"/>
                  </w:rPr>
                  <w:t>The obsoleted ID must never be reassigned to another entity. A list of obsoleted IDs should be maintained.</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598CD466" w14:textId="77777777" w:rsidR="00B14F43" w:rsidRDefault="00000000">
                <w:pPr>
                  <w:spacing w:line="220" w:lineRule="exact"/>
                  <w:jc w:val="left"/>
                  <w:rPr>
                    <w:sz w:val="20"/>
                    <w:szCs w:val="20"/>
                  </w:rPr>
                </w:pPr>
                <w:r>
                  <w:rPr>
                    <w:sz w:val="20"/>
                    <w:szCs w:val="20"/>
                  </w:rPr>
                  <w:t>Single obsoleted identifier:</w:t>
                </w:r>
              </w:p>
              <w:p w14:paraId="0ABD4492" w14:textId="77777777" w:rsidR="00B14F43" w:rsidRDefault="00000000">
                <w:pPr>
                  <w:spacing w:line="220" w:lineRule="exact"/>
                  <w:jc w:val="left"/>
                  <w:rPr>
                    <w:sz w:val="20"/>
                    <w:szCs w:val="20"/>
                  </w:rPr>
                </w:pPr>
                <w:r>
                  <w:rPr>
                    <w:sz w:val="20"/>
                    <w:szCs w:val="20"/>
                  </w:rPr>
                  <w:t xml:space="preserve">http://www.uniprot.org/uniprot/A0AV18 </w:t>
                </w:r>
              </w:p>
              <w:p w14:paraId="19FC3DA7" w14:textId="77777777" w:rsidR="00B14F43" w:rsidRDefault="00B14F43">
                <w:pPr>
                  <w:spacing w:line="220" w:lineRule="exact"/>
                  <w:jc w:val="left"/>
                  <w:rPr>
                    <w:sz w:val="20"/>
                    <w:szCs w:val="20"/>
                  </w:rPr>
                </w:pPr>
              </w:p>
              <w:p w14:paraId="7CD5F460" w14:textId="77777777" w:rsidR="00B14F43" w:rsidRDefault="00B14F43">
                <w:pPr>
                  <w:spacing w:line="220" w:lineRule="exact"/>
                  <w:jc w:val="left"/>
                  <w:rPr>
                    <w:sz w:val="20"/>
                    <w:szCs w:val="20"/>
                  </w:rPr>
                </w:pPr>
              </w:p>
              <w:p w14:paraId="370CF65F" w14:textId="77777777" w:rsidR="00B14F43" w:rsidRDefault="00B14F43">
                <w:pPr>
                  <w:spacing w:line="220" w:lineRule="exact"/>
                  <w:jc w:val="left"/>
                  <w:rPr>
                    <w:sz w:val="20"/>
                    <w:szCs w:val="20"/>
                  </w:rPr>
                </w:pPr>
              </w:p>
              <w:p w14:paraId="075458C8" w14:textId="77777777" w:rsidR="00B14F43" w:rsidRDefault="00B14F43">
                <w:pPr>
                  <w:spacing w:line="220" w:lineRule="exact"/>
                  <w:jc w:val="left"/>
                  <w:rPr>
                    <w:sz w:val="20"/>
                    <w:szCs w:val="20"/>
                  </w:rPr>
                </w:pPr>
              </w:p>
              <w:p w14:paraId="49DEA1F5" w14:textId="77777777" w:rsidR="00B14F43" w:rsidRDefault="00B14F43">
                <w:pPr>
                  <w:spacing w:line="220" w:lineRule="exact"/>
                  <w:jc w:val="left"/>
                  <w:rPr>
                    <w:sz w:val="20"/>
                    <w:szCs w:val="20"/>
                  </w:rPr>
                </w:pPr>
              </w:p>
              <w:p w14:paraId="7CF821C5" w14:textId="77777777" w:rsidR="00B14F43" w:rsidRDefault="00000000">
                <w:pPr>
                  <w:spacing w:line="220" w:lineRule="exact"/>
                  <w:jc w:val="left"/>
                  <w:rPr>
                    <w:sz w:val="20"/>
                    <w:szCs w:val="20"/>
                  </w:rPr>
                </w:pPr>
                <w:r>
                  <w:rPr>
                    <w:sz w:val="20"/>
                    <w:szCs w:val="20"/>
                  </w:rPr>
                  <w:t>List of obsoleted identifiers:</w:t>
                </w:r>
              </w:p>
              <w:p w14:paraId="563486BD" w14:textId="77777777" w:rsidR="00B14F43" w:rsidRDefault="00000000">
                <w:pPr>
                  <w:spacing w:line="220" w:lineRule="exact"/>
                  <w:jc w:val="left"/>
                  <w:rPr>
                    <w:sz w:val="20"/>
                    <w:szCs w:val="20"/>
                  </w:rPr>
                </w:pPr>
                <w:r>
                  <w:rPr>
                    <w:sz w:val="20"/>
                    <w:szCs w:val="20"/>
                  </w:rPr>
                  <w:t>uniprot.org/help/</w:t>
                </w:r>
                <w:proofErr w:type="spellStart"/>
                <w:r>
                  <w:rPr>
                    <w:sz w:val="20"/>
                    <w:szCs w:val="20"/>
                  </w:rPr>
                  <w:t>deleted_accessions</w:t>
                </w:r>
                <w:proofErr w:type="spellEnd"/>
              </w:p>
            </w:tc>
          </w:tr>
          <w:tr w:rsidR="00B14F43" w14:paraId="343CEB16"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082996C2" w14:textId="77777777" w:rsidR="00B14F43" w:rsidRDefault="00000000">
                <w:pPr>
                  <w:spacing w:line="220" w:lineRule="exact"/>
                  <w:jc w:val="left"/>
                  <w:rPr>
                    <w:b/>
                    <w:sz w:val="20"/>
                    <w:szCs w:val="20"/>
                  </w:rPr>
                </w:pPr>
                <w:r>
                  <w:rPr>
                    <w:b/>
                    <w:sz w:val="20"/>
                    <w:szCs w:val="20"/>
                  </w:rPr>
                  <w:t xml:space="preserve">Merging: When two or more identifiers are merged, a new recipient identifier should be designated as the primary (citable) one and should contain information about the legacy identifiers it encompasses. Any legacy identifiers should continue to resolve via redirection to the primary identifier. </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3E894C32" w14:textId="77777777" w:rsidR="00B14F43" w:rsidRDefault="00000000">
                <w:pPr>
                  <w:spacing w:line="220" w:lineRule="exact"/>
                  <w:jc w:val="left"/>
                  <w:rPr>
                    <w:sz w:val="20"/>
                    <w:szCs w:val="20"/>
                  </w:rPr>
                </w:pPr>
                <w:proofErr w:type="spellStart"/>
                <w:r>
                  <w:rPr>
                    <w:sz w:val="20"/>
                    <w:szCs w:val="20"/>
                  </w:rPr>
                  <w:t>UniProt</w:t>
                </w:r>
                <w:proofErr w:type="spellEnd"/>
                <w:r>
                  <w:rPr>
                    <w:sz w:val="20"/>
                    <w:szCs w:val="20"/>
                  </w:rPr>
                  <w:t xml:space="preserve"> entries Q57339 and O08022 have been merged into Q00626. Q57339 and O08022 are redirected to Q00626.</w:t>
                </w:r>
              </w:p>
            </w:tc>
          </w:tr>
          <w:tr w:rsidR="00B14F43" w14:paraId="501FCD9A" w14:textId="77777777">
            <w:tc>
              <w:tcPr>
                <w:tcW w:w="6567"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0138B6D" w14:textId="77777777" w:rsidR="00B14F43" w:rsidRDefault="00000000">
                <w:pPr>
                  <w:spacing w:line="220" w:lineRule="exact"/>
                  <w:jc w:val="left"/>
                  <w:rPr>
                    <w:b/>
                    <w:sz w:val="20"/>
                    <w:szCs w:val="20"/>
                  </w:rPr>
                </w:pPr>
                <w:r>
                  <w:rPr>
                    <w:b/>
                    <w:sz w:val="20"/>
                    <w:szCs w:val="20"/>
                  </w:rPr>
                  <w:t>Splitting: If an identifier is split (demerged) into two or more new ones, new identifiers should be assigned to all the new entries. The legacy identifier must be obsoleted, must resolve, and should provide a warning and pointers to the new ones as per above.</w:t>
                </w:r>
              </w:p>
            </w:tc>
            <w:tc>
              <w:tcPr>
                <w:tcW w:w="3356" w:type="dxa"/>
                <w:tcBorders>
                  <w:top w:val="single" w:sz="8" w:space="0" w:color="666666"/>
                  <w:left w:val="single" w:sz="8" w:space="0" w:color="666666"/>
                  <w:bottom w:val="single" w:sz="8" w:space="0" w:color="666666"/>
                  <w:right w:val="single" w:sz="8" w:space="0" w:color="666666"/>
                </w:tcBorders>
                <w:tcMar>
                  <w:top w:w="0" w:type="dxa"/>
                  <w:left w:w="21" w:type="dxa"/>
                  <w:bottom w:w="0" w:type="dxa"/>
                  <w:right w:w="0" w:type="dxa"/>
                </w:tcMar>
              </w:tcPr>
              <w:p w14:paraId="28D8A5AC" w14:textId="77777777" w:rsidR="00B14F43" w:rsidRDefault="00000000">
                <w:pPr>
                  <w:spacing w:line="220" w:lineRule="exact"/>
                  <w:jc w:val="left"/>
                  <w:rPr>
                    <w:sz w:val="20"/>
                    <w:szCs w:val="20"/>
                  </w:rPr>
                </w:pPr>
                <w:proofErr w:type="spellStart"/>
                <w:r>
                  <w:rPr>
                    <w:sz w:val="20"/>
                    <w:szCs w:val="20"/>
                  </w:rPr>
                  <w:t>UniProt</w:t>
                </w:r>
                <w:proofErr w:type="spellEnd"/>
                <w:r>
                  <w:rPr>
                    <w:sz w:val="20"/>
                    <w:szCs w:val="20"/>
                  </w:rPr>
                  <w:t xml:space="preserve"> entry P29358 has been split into P68250 and P68251. P29358 displays a warning and links to the demerged entries:</w:t>
                </w:r>
              </w:p>
              <w:p w14:paraId="1A587F7E" w14:textId="77777777" w:rsidR="00B14F43" w:rsidRDefault="00000000">
                <w:pPr>
                  <w:spacing w:line="220" w:lineRule="exact"/>
                  <w:jc w:val="left"/>
                  <w:rPr>
                    <w:sz w:val="20"/>
                    <w:szCs w:val="20"/>
                  </w:rPr>
                </w:pPr>
                <w:r>
                  <w:rPr>
                    <w:sz w:val="20"/>
                    <w:szCs w:val="20"/>
                  </w:rPr>
                  <w:t xml:space="preserve">http://www.uniprot.org/uniprot/P29358 </w:t>
                </w:r>
              </w:p>
            </w:tc>
          </w:tr>
        </w:tbl>
      </w:sdtContent>
    </w:sdt>
    <w:sdt>
      <w:sdtPr>
        <w:tag w:val="ox:47b04f5d-c99c-542d-ac83-c348d12500fb"/>
        <w:id w:val="-1688288548"/>
      </w:sdtPr>
      <w:sdtContent>
        <w:p w14:paraId="6F1F7C10" w14:textId="77777777" w:rsidR="00B14F43" w:rsidRDefault="00000000">
          <w:pPr>
            <w:pStyle w:val="Heading2"/>
            <w:contextualSpacing w:val="0"/>
          </w:pPr>
          <w:r>
            <w:t>Rule 9: Document the identifiers you issue and use</w:t>
          </w:r>
        </w:p>
      </w:sdtContent>
    </w:sdt>
    <w:sdt>
      <w:sdtPr>
        <w:tag w:val="ox:f052f62f-73fd-5f28-80fe-a64d6d3be515"/>
        <w:id w:val="-560942891"/>
      </w:sdtPr>
      <w:sdtContent>
        <w:p w14:paraId="25E759F7" w14:textId="77777777" w:rsidR="00B14F43" w:rsidRDefault="00000000">
          <w:pPr>
            <w:pStyle w:val="LO-normal"/>
          </w:pPr>
          <w:r>
            <w:t xml:space="preserve">The global-scale identification cycle is a shared responsibility and provider/consumer roles often overlap in the context of data integration. Whether you issue your own identifiers or just reference those of others, you must document your identifier policies. </w:t>
          </w:r>
          <w:r>
            <w:rPr>
              <w:b/>
            </w:rPr>
            <w:t xml:space="preserve">Supplemental Table S6 </w:t>
          </w:r>
          <w:r>
            <w:t>provides a set of questions that data providers and re-distributors can use to develop such documentation. Documentation should be published alongside and/or included together in a dataset description, as outlined in the recommendations for Dataset Descriptions developed by the W3C Semantic Web in the Health Care and Life Sciences Interest Group [</w:t>
          </w:r>
          <w:hyperlink r:id="rId45" w:anchor="s6_3" w:history="1">
            <w:r>
              <w:rPr>
                <w:color w:val="1155CC"/>
                <w:u w:val="single"/>
              </w:rPr>
              <w:t>16</w:t>
            </w:r>
          </w:hyperlink>
          <w:r>
            <w:t xml:space="preserve">]. For examples of such documentation see </w:t>
          </w:r>
          <w:hyperlink r:id="rId46" w:anchor="appendix_1" w:history="1">
            <w:proofErr w:type="spellStart"/>
            <w:r>
              <w:rPr>
                <w:color w:val="1155CC"/>
                <w:u w:val="single"/>
              </w:rPr>
              <w:t>ChEMBL</w:t>
            </w:r>
            <w:proofErr w:type="spellEnd"/>
          </w:hyperlink>
          <w:r>
            <w:t>[</w:t>
          </w:r>
          <w:hyperlink r:id="rId47" w:anchor="appendix_1" w:history="1">
            <w:r>
              <w:rPr>
                <w:color w:val="1155CC"/>
                <w:u w:val="single"/>
              </w:rPr>
              <w:t>17</w:t>
            </w:r>
          </w:hyperlink>
          <w:r>
            <w:t xml:space="preserve">] and </w:t>
          </w:r>
          <w:hyperlink r:id="rId48" w:anchor="identifiers" w:history="1">
            <w:r>
              <w:rPr>
                <w:color w:val="1155CC"/>
                <w:u w:val="single"/>
              </w:rPr>
              <w:t>Monarch</w:t>
            </w:r>
          </w:hyperlink>
          <w:r>
            <w:t>[18</w:t>
          </w:r>
          <w:proofErr w:type="gramStart"/>
          <w:r>
            <w:t>] ;</w:t>
          </w:r>
          <w:proofErr w:type="gramEnd"/>
          <w:r>
            <w:t xml:space="preserve"> the format may vary. </w:t>
          </w:r>
        </w:p>
      </w:sdtContent>
    </w:sdt>
    <w:sdt>
      <w:sdtPr>
        <w:tag w:val="ox:63a6d807-5e0c-5d3f-ad93-6438ba115cc2"/>
        <w:id w:val="763653416"/>
      </w:sdtPr>
      <w:sdtContent>
        <w:p w14:paraId="37731EA4" w14:textId="77777777" w:rsidR="00B14F43" w:rsidRDefault="00000000">
          <w:pPr>
            <w:pStyle w:val="Heading2"/>
            <w:contextualSpacing w:val="0"/>
          </w:pPr>
          <w:r>
            <w:t>Rule 10: Reference responsibly</w:t>
          </w:r>
        </w:p>
      </w:sdtContent>
    </w:sdt>
    <w:sdt>
      <w:sdtPr>
        <w:tag w:val="ox:27424b71-8d03-55f7-bd09-9c7f1a210bf7"/>
        <w:id w:val="-354041352"/>
      </w:sdtPr>
      <w:sdtContent>
        <w:p w14:paraId="566B3F1C" w14:textId="77777777" w:rsidR="00B14F43" w:rsidRDefault="00000000">
          <w:pPr>
            <w:pStyle w:val="LO-normal"/>
          </w:pPr>
        </w:p>
      </w:sdtContent>
    </w:sdt>
    <w:sdt>
      <w:sdtPr>
        <w:tag w:val="ox:db637388-dc66-5939-ac2c-8579dce5e186"/>
        <w:id w:val="-1071655720"/>
      </w:sdtPr>
      <w:sdtContent>
        <w:p w14:paraId="6B610497" w14:textId="77777777" w:rsidR="00B14F43" w:rsidRDefault="00000000">
          <w:pPr>
            <w:pStyle w:val="LO-normal"/>
          </w:pPr>
          <w:r>
            <w:t xml:space="preserve">The final rule describes referencing recommendations for data redistributors: data aggregators, who collect information from different sources and re-display it; data publishers, who disseminate scientific knowledge through publications; and online reference material.  </w:t>
          </w:r>
        </w:p>
      </w:sdtContent>
    </w:sdt>
    <w:sdt>
      <w:sdtPr>
        <w:tag w:val="ox:799e5cbb-c65e-5d97-8cdd-77c74b7a5348"/>
        <w:id w:val="-987621617"/>
      </w:sdtPr>
      <w:sdtContent>
        <w:p w14:paraId="03F9F285" w14:textId="77777777" w:rsidR="00B14F43" w:rsidRDefault="00000000">
          <w:pPr>
            <w:pStyle w:val="LO-normal"/>
          </w:pPr>
        </w:p>
      </w:sdtContent>
    </w:sdt>
    <w:sdt>
      <w:sdtPr>
        <w:tag w:val="ox:c330ab45-1c10-5a40-8f39-42e2480992c1"/>
        <w:id w:val="-107896154"/>
      </w:sdtPr>
      <w:sdtContent>
        <w:p w14:paraId="26D98DBE" w14:textId="77777777" w:rsidR="00B14F43" w:rsidRDefault="00000000">
          <w:pPr>
            <w:pStyle w:val="LO-normal"/>
          </w:pPr>
          <w:r>
            <w:t xml:space="preserve">When database identifiers are referenced in narrative online text, they should always be hyperlinked to their URIs or to metadata containing their URIs [e.g. </w:t>
          </w:r>
          <w:hyperlink r:id="rId49" w:history="1">
            <w:r>
              <w:rPr>
                <w:color w:val="1155CC"/>
                <w:u w:val="single"/>
              </w:rPr>
              <w:t>19</w:t>
            </w:r>
          </w:hyperlink>
          <w:r>
            <w:t xml:space="preserve">, </w:t>
          </w:r>
          <w:hyperlink r:id="rId50" w:history="1">
            <w:r>
              <w:rPr>
                <w:color w:val="1155CC"/>
                <w:u w:val="single"/>
              </w:rPr>
              <w:t>20</w:t>
            </w:r>
          </w:hyperlink>
          <w:r>
            <w:t xml:space="preserve">]. Where cross-references are displayed to humans (e.g. as in </w:t>
          </w:r>
          <w:hyperlink r:id="rId51" w:anchor="overview" w:history="1">
            <w:r>
              <w:rPr>
                <w:color w:val="1155CC"/>
                <w:u w:val="single"/>
              </w:rPr>
              <w:t>Monarch disease overview pages</w:t>
            </w:r>
          </w:hyperlink>
          <w:r>
            <w:t xml:space="preserve">) consider using a CURIE notation whose </w:t>
          </w:r>
          <w:r>
            <w:rPr>
              <w:rFonts w:ascii="Consolas" w:hAnsi="Consolas"/>
            </w:rPr>
            <w:t>prefix</w:t>
          </w:r>
          <w:r>
            <w:t xml:space="preserve"> (see </w:t>
          </w:r>
          <w:r>
            <w:rPr>
              <w:b/>
            </w:rPr>
            <w:t>Rule 2</w:t>
          </w:r>
          <w:r>
            <w:t xml:space="preserve">) is as assigned by the data provider. Where machine parsing is intended (e.g. </w:t>
          </w:r>
          <w:hyperlink r:id="rId52" w:history="1">
            <w:r>
              <w:rPr>
                <w:color w:val="1155CC"/>
                <w:u w:val="single"/>
              </w:rPr>
              <w:t>Monarch metadata landing pages</w:t>
            </w:r>
          </w:hyperlink>
          <w:r>
            <w:t>), any CURIEs must be given together with a machine-</w:t>
          </w:r>
          <w:proofErr w:type="spellStart"/>
          <w:r>
            <w:t>parsable</w:t>
          </w:r>
          <w:proofErr w:type="spellEnd"/>
          <w:r>
            <w:t xml:space="preserve"> definition of the prefix-to-source mapping e.g. </w:t>
          </w:r>
          <w:hyperlink r:id="rId53" w:history="1">
            <w:r>
              <w:rPr>
                <w:color w:val="1155CC"/>
                <w:u w:val="single"/>
              </w:rPr>
              <w:t>Monarch CURIE map</w:t>
            </w:r>
          </w:hyperlink>
          <w:r>
            <w:t xml:space="preserve">. </w:t>
          </w:r>
          <w:r>
            <w:rPr>
              <w:rFonts w:ascii="Consolas" w:hAnsi="Consolas"/>
            </w:rPr>
            <w:t>Access URLs</w:t>
          </w:r>
          <w:r>
            <w:t xml:space="preserve"> are volatile (see Rule 4) and must not be used for referencing. This is especially relevant for bundled and transitive references to identifiers, such as those found in published bioinformatics pipelines (for example, </w:t>
          </w:r>
          <w:hyperlink r:id="rId54" w:history="1">
            <w:r>
              <w:rPr>
                <w:color w:val="1155CC"/>
                <w:u w:val="single"/>
              </w:rPr>
              <w:t>Research Object</w:t>
            </w:r>
          </w:hyperlink>
          <w:r>
            <w:t xml:space="preserve"> or </w:t>
          </w:r>
          <w:hyperlink r:id="rId55" w:history="1">
            <w:r>
              <w:rPr>
                <w:color w:val="1155CC"/>
                <w:u w:val="single"/>
              </w:rPr>
              <w:t>Galaxy</w:t>
            </w:r>
          </w:hyperlink>
          <w:r>
            <w:t>).</w:t>
          </w:r>
        </w:p>
      </w:sdtContent>
    </w:sdt>
    <w:sdt>
      <w:sdtPr>
        <w:tag w:val="ox:4b2c798e-7381-5987-9976-15f023a5004a"/>
        <w:id w:val="727034499"/>
      </w:sdtPr>
      <w:sdtContent>
        <w:p w14:paraId="031F790F" w14:textId="77777777" w:rsidR="00B14F43" w:rsidRDefault="00000000">
          <w:pPr>
            <w:pStyle w:val="LO-normal"/>
          </w:pPr>
        </w:p>
      </w:sdtContent>
    </w:sdt>
    <w:sdt>
      <w:sdtPr>
        <w:tag w:val="ox:17eaa7ba-e180-56f3-b47a-16a6bb903242"/>
        <w:id w:val="-1084067793"/>
      </w:sdtPr>
      <w:sdtContent>
        <w:p w14:paraId="6973EF6A" w14:textId="77777777" w:rsidR="00B14F43" w:rsidRDefault="00000000">
          <w:pPr>
            <w:pStyle w:val="LO-normal"/>
          </w:pPr>
          <w:r>
            <w:t xml:space="preserve">Where there exists no provider-issued or </w:t>
          </w:r>
          <w:proofErr w:type="gramStart"/>
          <w:r>
            <w:t>commonly-used</w:t>
          </w:r>
          <w:proofErr w:type="gramEnd"/>
          <w:r>
            <w:t xml:space="preserve"> prefix for a dataset, the data distributor should select one, preferably after discussion with the data provider. Similar documentation best practices apply to data providers and redistributors (</w:t>
          </w:r>
          <w:r>
            <w:rPr>
              <w:b/>
            </w:rPr>
            <w:t>Table S6</w:t>
          </w:r>
          <w:r>
            <w:t xml:space="preserve">). </w:t>
          </w:r>
        </w:p>
      </w:sdtContent>
    </w:sdt>
    <w:sdt>
      <w:sdtPr>
        <w:tag w:val="ox:09bef5dd-585c-5efe-a401-82ea1fcb65f8"/>
        <w:id w:val="601222665"/>
      </w:sdtPr>
      <w:sdtContent>
        <w:p w14:paraId="1FB4B3D7" w14:textId="77777777" w:rsidR="00B14F43" w:rsidRDefault="00000000">
          <w:pPr>
            <w:pStyle w:val="LO-normal"/>
          </w:pPr>
        </w:p>
      </w:sdtContent>
    </w:sdt>
    <w:sdt>
      <w:sdtPr>
        <w:tag w:val="ox:c3cb70da-37d6-5707-9f21-d4e1560ab9ed"/>
        <w:id w:val="764969326"/>
      </w:sdtPr>
      <w:sdtContent>
        <w:p w14:paraId="72641306" w14:textId="77777777" w:rsidR="00B14F43" w:rsidRDefault="00000000">
          <w:pPr>
            <w:pStyle w:val="LO-normal"/>
          </w:pPr>
          <w:r>
            <w:t xml:space="preserve">Redistributors of data should monitor their references to other </w:t>
          </w:r>
          <w:proofErr w:type="gramStart"/>
          <w:r>
            <w:t>sources;  any</w:t>
          </w:r>
          <w:proofErr w:type="gramEnd"/>
          <w:r>
            <w:t xml:space="preserve"> ‘dead’ links </w:t>
          </w:r>
          <w:proofErr w:type="gramStart"/>
          <w:r>
            <w:t>should  be</w:t>
          </w:r>
          <w:proofErr w:type="gramEnd"/>
          <w:r>
            <w:t xml:space="preserve"> reported to the original data provider. If the original provider does not fix the broken link, the reference to it should be marked obsolete both visibly (for user interaction/interpretation), and within any accompanying metadata (for computational interaction/propagation).  </w:t>
          </w:r>
        </w:p>
      </w:sdtContent>
    </w:sdt>
    <w:sdt>
      <w:sdtPr>
        <w:tag w:val="ox:93a2f35b-a78a-58e1-afb2-6614ba2df7b2"/>
        <w:id w:val="-1435904208"/>
      </w:sdtPr>
      <w:sdtContent>
        <w:p w14:paraId="043AB7CE" w14:textId="77777777" w:rsidR="00B14F43" w:rsidRDefault="00000000">
          <w:pPr>
            <w:pStyle w:val="Heading2"/>
            <w:contextualSpacing w:val="0"/>
          </w:pPr>
          <w:r>
            <w:t>Conclusion</w:t>
          </w:r>
        </w:p>
      </w:sdtContent>
    </w:sdt>
    <w:sdt>
      <w:sdtPr>
        <w:tag w:val="ox:8a9ba24e-9588-579a-8bf3-34201d8be3e9"/>
        <w:id w:val="-1325963381"/>
      </w:sdtPr>
      <w:sdtContent>
        <w:p w14:paraId="5BAA1F98" w14:textId="77777777" w:rsidR="00B14F43" w:rsidRDefault="00000000">
          <w:pPr>
            <w:pStyle w:val="LO-normal"/>
          </w:pPr>
          <w:r>
            <w:t>Better identifier design, provisioning, documentation, and referencing can address many of the identifier problems encountered in the life science data cycle. We recognize that improvements to the quality, diversity, and uptake of identifier tooling would lower barriers to adoption of these rules. We will undertake to address these gaps in the relevant initiatives (</w:t>
          </w:r>
          <w:r>
            <w:rPr>
              <w:b/>
            </w:rPr>
            <w:t>Text S1</w:t>
          </w:r>
          <w:r>
            <w:t xml:space="preserve">). We also recognize the need for formal software-engineering specifications of identifier formats and/or alignment between existing specifications and hope that this paper can </w:t>
          </w:r>
          <w:proofErr w:type="spellStart"/>
          <w:r>
            <w:t>catalyze</w:t>
          </w:r>
          <w:proofErr w:type="spellEnd"/>
          <w:r>
            <w:t xml:space="preserve"> such efforts. </w:t>
          </w:r>
        </w:p>
      </w:sdtContent>
    </w:sdt>
    <w:sdt>
      <w:sdtPr>
        <w:tag w:val="ox:ee85dd88-05e9-5739-b550-fd6941fa038b"/>
        <w:id w:val="-1842548318"/>
      </w:sdtPr>
      <w:sdtContent>
        <w:p w14:paraId="288AE82E" w14:textId="77777777" w:rsidR="00B14F43" w:rsidRDefault="00000000">
          <w:pPr>
            <w:pStyle w:val="LO-normal"/>
          </w:pPr>
        </w:p>
      </w:sdtContent>
    </w:sdt>
    <w:sdt>
      <w:sdtPr>
        <w:tag w:val="ox:60d69549-2ec0-5dc7-a150-e971608b0af4"/>
        <w:id w:val="1242065657"/>
      </w:sdtPr>
      <w:sdtContent>
        <w:p w14:paraId="73F9FE01" w14:textId="77777777" w:rsidR="00B14F43" w:rsidRDefault="00000000">
          <w:pPr>
            <w:pStyle w:val="Heading1"/>
            <w:contextualSpacing w:val="0"/>
          </w:pPr>
          <w:r>
            <w:rPr>
              <w:sz w:val="22"/>
            </w:rPr>
            <w:t>Acknowledgments</w:t>
          </w:r>
        </w:p>
      </w:sdtContent>
    </w:sdt>
    <w:sdt>
      <w:sdtPr>
        <w:tag w:val="ox:61cb8d72-cb53-500b-95cc-6a5a13c126dd"/>
        <w:id w:val="986901580"/>
      </w:sdtPr>
      <w:sdtContent>
        <w:p w14:paraId="58926FA3" w14:textId="77777777" w:rsidR="00B14F43" w:rsidRDefault="00000000">
          <w:pPr>
            <w:pStyle w:val="LO-normal"/>
          </w:pPr>
          <w:r>
            <w:t xml:space="preserve">J McMurry, T </w:t>
          </w:r>
          <w:proofErr w:type="gramStart"/>
          <w:r>
            <w:t>Burdett,  N</w:t>
          </w:r>
          <w:proofErr w:type="gramEnd"/>
          <w:r>
            <w:t xml:space="preserve"> </w:t>
          </w:r>
          <w:proofErr w:type="spellStart"/>
          <w:r>
            <w:t>Juty</w:t>
          </w:r>
          <w:proofErr w:type="spellEnd"/>
          <w:r>
            <w:t xml:space="preserve">, and S Jupp were supported in part by the </w:t>
          </w:r>
          <w:proofErr w:type="spellStart"/>
          <w:r>
            <w:t>BioMedBridges</w:t>
          </w:r>
          <w:proofErr w:type="spellEnd"/>
          <w:r>
            <w:t xml:space="preserve"> project, which is funded by the European Union Seventh Framework Programme within Research Infrastructures of the FP7 Capacities Specific Programme, grant agreement number </w:t>
          </w:r>
          <w:hyperlink r:id="rId56" w:history="1">
            <w:r>
              <w:rPr>
                <w:color w:val="1155CC"/>
                <w:u w:val="single"/>
              </w:rPr>
              <w:t>284209</w:t>
            </w:r>
          </w:hyperlink>
          <w:r>
            <w:t xml:space="preserve">.  </w:t>
          </w:r>
          <w:hyperlink r:id="rId57" w:history="1">
            <w:r>
              <w:rPr>
                <w:color w:val="1155CC"/>
                <w:u w:val="single"/>
              </w:rPr>
              <w:t>EMBL-EBI core funds</w:t>
            </w:r>
          </w:hyperlink>
          <w:r>
            <w:t xml:space="preserve"> supported H Parkinson, MJ Martin, J McEntyre, H </w:t>
          </w:r>
          <w:proofErr w:type="spellStart"/>
          <w:r>
            <w:t>Hermjakob</w:t>
          </w:r>
          <w:proofErr w:type="spellEnd"/>
          <w:r>
            <w:t xml:space="preserve">. J Malone.  </w:t>
          </w:r>
          <w:hyperlink r:id="rId58" w:history="1">
            <w:r>
              <w:rPr>
                <w:color w:val="1155CC"/>
                <w:u w:val="single"/>
              </w:rPr>
              <w:t>ELIXIR core funds</w:t>
            </w:r>
          </w:hyperlink>
          <w:r>
            <w:t xml:space="preserve"> supported N Blomberg, R Jimenez. The European Commission provided additional support for Simon Jupp under grant number </w:t>
          </w:r>
          <w:hyperlink r:id="rId59" w:history="1">
            <w:r>
              <w:rPr>
                <w:color w:val="1155CC"/>
                <w:u w:val="single"/>
              </w:rPr>
              <w:t>601043</w:t>
            </w:r>
          </w:hyperlink>
          <w:r>
            <w:t xml:space="preserve"> (“DIACHRON”) and for N </w:t>
          </w:r>
          <w:proofErr w:type="spellStart"/>
          <w:r>
            <w:t>Juty</w:t>
          </w:r>
          <w:proofErr w:type="spellEnd"/>
          <w:r>
            <w:t xml:space="preserve"> and H </w:t>
          </w:r>
          <w:proofErr w:type="spellStart"/>
          <w:r>
            <w:t>Hermjakob</w:t>
          </w:r>
          <w:proofErr w:type="spellEnd"/>
          <w:r>
            <w:t xml:space="preserve"> under grant number </w:t>
          </w:r>
          <w:hyperlink r:id="rId60" w:history="1">
            <w:r>
              <w:rPr>
                <w:color w:val="1155CC"/>
                <w:u w:val="single"/>
              </w:rPr>
              <w:t>312455</w:t>
            </w:r>
          </w:hyperlink>
          <w:r>
            <w:t xml:space="preserve"> (“Infrastructure for Systems Biology - Europe (ISBE)”). The Drug Disease Model Resources grant number </w:t>
          </w:r>
          <w:proofErr w:type="spellStart"/>
          <w:r>
            <w:t>DDMoRe</w:t>
          </w:r>
          <w:proofErr w:type="spellEnd"/>
          <w:r>
            <w:t xml:space="preserve"> </w:t>
          </w:r>
          <w:hyperlink r:id="rId61" w:history="1">
            <w:r>
              <w:rPr>
                <w:color w:val="1155CC"/>
                <w:u w:val="single"/>
              </w:rPr>
              <w:t>115156</w:t>
            </w:r>
          </w:hyperlink>
          <w:r>
            <w:t xml:space="preserve"> (“Innovative Medicines Initiative”) supported C. Laibe. Support was also received from the following BBSRC grants: </w:t>
          </w:r>
          <w:hyperlink r:id="rId62" w:history="1">
            <w:r>
              <w:rPr>
                <w:color w:val="1155CC"/>
                <w:u w:val="single"/>
              </w:rPr>
              <w:t>BB/L005050/1</w:t>
            </w:r>
          </w:hyperlink>
          <w:r>
            <w:t xml:space="preserve"> (“ELIXIR-UK, Manchester”) for SA Sansone, A Gonzalez-Beltran and C Goble; </w:t>
          </w:r>
          <w:hyperlink r:id="rId63" w:history="1">
            <w:r>
              <w:rPr>
                <w:color w:val="1155CC"/>
                <w:u w:val="single"/>
              </w:rPr>
              <w:t>BB/M013189/1</w:t>
            </w:r>
          </w:hyperlink>
          <w:r>
            <w:t xml:space="preserve"> (“</w:t>
          </w:r>
          <w:proofErr w:type="spellStart"/>
          <w:r>
            <w:t>DMMCore</w:t>
          </w:r>
          <w:proofErr w:type="spellEnd"/>
          <w:r>
            <w:t xml:space="preserve">”) for C Goble, J Snoep, and N Stanford; </w:t>
          </w:r>
          <w:hyperlink r:id="rId64" w:history="1">
            <w:r>
              <w:rPr>
                <w:color w:val="1155CC"/>
                <w:u w:val="single"/>
              </w:rPr>
              <w:t>BB/K019783/1</w:t>
            </w:r>
          </w:hyperlink>
          <w:r>
            <w:t xml:space="preserve"> (“Continued development of </w:t>
          </w:r>
          <w:proofErr w:type="spellStart"/>
          <w:r>
            <w:t>ChEBI</w:t>
          </w:r>
          <w:proofErr w:type="spellEnd"/>
          <w:r>
            <w:t xml:space="preserve">”) and </w:t>
          </w:r>
          <w:hyperlink r:id="rId65" w:history="1">
            <w:r>
              <w:rPr>
                <w:color w:val="1155CC"/>
                <w:u w:val="single"/>
              </w:rPr>
              <w:t>BB/M006891/1</w:t>
            </w:r>
          </w:hyperlink>
          <w:r>
            <w:t xml:space="preserve"> (“EMPATHY”) for N Swainson; </w:t>
          </w:r>
          <w:hyperlink r:id="rId66" w:history="1">
            <w:r>
              <w:rPr>
                <w:color w:val="1155CC"/>
                <w:u w:val="single"/>
              </w:rPr>
              <w:t>BB/M017702/1</w:t>
            </w:r>
          </w:hyperlink>
          <w:r>
            <w:t xml:space="preserve"> (“SYNBIOCHEM”) for N Swainson and D Fellows; </w:t>
          </w:r>
          <w:hyperlink r:id="rId67" w:history="1">
            <w:r>
              <w:rPr>
                <w:color w:val="1155CC"/>
                <w:u w:val="single"/>
              </w:rPr>
              <w:t>BBS/E/B/000C0419</w:t>
            </w:r>
          </w:hyperlink>
          <w:r>
            <w:t xml:space="preserve"> (“A systems approach to understanding lipid, Ca2+ and MAPK signalling networks”) for N Le </w:t>
          </w:r>
          <w:proofErr w:type="spellStart"/>
          <w:r>
            <w:t>Novère</w:t>
          </w:r>
          <w:proofErr w:type="spellEnd"/>
          <w:r>
            <w:t xml:space="preserve">; </w:t>
          </w:r>
          <w:hyperlink r:id="rId68" w:history="1">
            <w:r>
              <w:rPr>
                <w:color w:val="1155CC"/>
                <w:u w:val="single"/>
              </w:rPr>
              <w:t>BB/L005069/1</w:t>
            </w:r>
          </w:hyperlink>
          <w:r>
            <w:t xml:space="preserve"> (“ELIXIR-UK, Oxford”) for SA Sansone, A Gonzalez-Beltran and P Rocca-Serra. NIH support was provided from the following grants: </w:t>
          </w:r>
          <w:hyperlink r:id="rId69" w:history="1">
            <w:r>
              <w:rPr>
                <w:color w:val="1155CC"/>
                <w:u w:val="single"/>
              </w:rPr>
              <w:t>U41HG007822</w:t>
            </w:r>
          </w:hyperlink>
          <w:r>
            <w:t xml:space="preserve"> (“</w:t>
          </w:r>
          <w:proofErr w:type="spellStart"/>
          <w:r>
            <w:t>UniProt</w:t>
          </w:r>
          <w:proofErr w:type="spellEnd"/>
          <w:r>
            <w:t xml:space="preserve">”) for MJ Martin; </w:t>
          </w:r>
          <w:hyperlink r:id="rId70" w:history="1">
            <w:r>
              <w:rPr>
                <w:color w:val="1155CC"/>
                <w:u w:val="single"/>
              </w:rPr>
              <w:t>U24AI117966-01</w:t>
            </w:r>
          </w:hyperlink>
          <w:r>
            <w:t xml:space="preserve"> (“</w:t>
          </w:r>
          <w:proofErr w:type="spellStart"/>
          <w:r>
            <w:t>bioCADDIE</w:t>
          </w:r>
          <w:proofErr w:type="spellEnd"/>
          <w:r>
            <w:t xml:space="preserve">”) for SA Sansone, A Gonzalez-Beltran and P Rocca-Serra; </w:t>
          </w:r>
          <w:hyperlink r:id="rId71" w:history="1">
            <w:r>
              <w:rPr>
                <w:color w:val="1155CC"/>
                <w:u w:val="single"/>
              </w:rPr>
              <w:t>U54AI117925</w:t>
            </w:r>
          </w:hyperlink>
          <w:r>
            <w:t xml:space="preserve"> (“CEDAR”) for SA Sansone, A Gonzalez-Beltran and P Rocca-Serra; </w:t>
          </w:r>
          <w:hyperlink r:id="rId72" w:history="1">
            <w:r>
              <w:rPr>
                <w:color w:val="1155CC"/>
                <w:u w:val="single"/>
              </w:rPr>
              <w:t>R24OD011883</w:t>
            </w:r>
          </w:hyperlink>
          <w:r>
            <w:t xml:space="preserve"> (“Semantic LAMHDI”) for CJ Mungall, MA Haendel, JA McMurry and NL Washington; </w:t>
          </w:r>
          <w:hyperlink r:id="rId73" w:history="1">
            <w:r>
              <w:rPr>
                <w:color w:val="1155CC"/>
                <w:u w:val="single"/>
              </w:rPr>
              <w:t>NHGRI P41HG002273-09</w:t>
            </w:r>
          </w:hyperlink>
          <w:r>
            <w:t xml:space="preserve"> (“Gene Ontology Consortium”) for CJ Mungall. Additional support for CJ Mungall and NL Washington was received from the Director, Office of Science, Office of Basic Energy Sciences, of the U.S. Department of Energy under [Contract No. </w:t>
          </w:r>
          <w:hyperlink r:id="rId74" w:history="1">
            <w:r>
              <w:rPr>
                <w:color w:val="1155CC"/>
                <w:u w:val="single"/>
              </w:rPr>
              <w:t>DE-AC02-05CH11231</w:t>
            </w:r>
          </w:hyperlink>
          <w:r>
            <w:t>].</w:t>
          </w:r>
        </w:p>
      </w:sdtContent>
    </w:sdt>
    <w:sdt>
      <w:sdtPr>
        <w:tag w:val="ox:09367a73-f96e-5ead-9c27-9cc209c79f2c"/>
        <w:id w:val="-2137097518"/>
      </w:sdtPr>
      <w:sdtContent>
        <w:p w14:paraId="04D1A30D" w14:textId="77777777" w:rsidR="00B14F43" w:rsidRDefault="00000000">
          <w:pPr>
            <w:pStyle w:val="LO-normal"/>
          </w:pPr>
        </w:p>
      </w:sdtContent>
    </w:sdt>
    <w:sdt>
      <w:sdtPr>
        <w:tag w:val="ox:976cbf53-1874-53c9-94e9-e3209ad5c712"/>
        <w:id w:val="388779975"/>
      </w:sdtPr>
      <w:sdtContent>
        <w:p w14:paraId="7968CD3C" w14:textId="77777777" w:rsidR="00B14F43" w:rsidRDefault="00000000">
          <w:pPr>
            <w:pStyle w:val="LO-normal"/>
          </w:pPr>
          <w:r>
            <w:t xml:space="preserve">The authors wish to thank </w:t>
          </w:r>
          <w:hyperlink r:id="rId75" w:history="1">
            <w:r>
              <w:rPr>
                <w:color w:val="1155CC"/>
                <w:u w:val="single"/>
              </w:rPr>
              <w:t>Mary Todd Bergman</w:t>
            </w:r>
          </w:hyperlink>
          <w:r>
            <w:t xml:space="preserve">, </w:t>
          </w:r>
          <w:hyperlink r:id="rId76" w:history="1">
            <w:r>
              <w:rPr>
                <w:color w:val="1155CC"/>
                <w:u w:val="single"/>
              </w:rPr>
              <w:t>Ewan Birney</w:t>
            </w:r>
          </w:hyperlink>
          <w:r>
            <w:t xml:space="preserve">, </w:t>
          </w:r>
          <w:hyperlink r:id="rId77" w:history="1">
            <w:r>
              <w:rPr>
                <w:color w:val="1155CC"/>
                <w:u w:val="single"/>
              </w:rPr>
              <w:t>Fiona Cunningham</w:t>
            </w:r>
          </w:hyperlink>
          <w:r>
            <w:t xml:space="preserve">, </w:t>
          </w:r>
          <w:hyperlink r:id="rId78" w:history="1">
            <w:r>
              <w:rPr>
                <w:color w:val="1155CC"/>
                <w:u w:val="single"/>
              </w:rPr>
              <w:t>Richard Cyganiak</w:t>
            </w:r>
          </w:hyperlink>
          <w:r>
            <w:t xml:space="preserve">, </w:t>
          </w:r>
          <w:hyperlink r:id="rId79" w:history="1">
            <w:r>
              <w:rPr>
                <w:color w:val="1155CC"/>
                <w:u w:val="single"/>
              </w:rPr>
              <w:t>Adam Faulconbridge</w:t>
            </w:r>
          </w:hyperlink>
          <w:r>
            <w:t xml:space="preserve">, </w:t>
          </w:r>
          <w:hyperlink r:id="rId80" w:history="1">
            <w:r>
              <w:rPr>
                <w:color w:val="1155CC"/>
                <w:u w:val="single"/>
              </w:rPr>
              <w:t>Andrew M Jenkinson</w:t>
            </w:r>
          </w:hyperlink>
          <w:r>
            <w:t xml:space="preserve">, </w:t>
          </w:r>
          <w:hyperlink r:id="rId81" w:history="1">
            <w:proofErr w:type="spellStart"/>
            <w:r>
              <w:rPr>
                <w:color w:val="1155CC"/>
                <w:u w:val="single"/>
              </w:rPr>
              <w:t>Sirarat</w:t>
            </w:r>
            <w:proofErr w:type="spellEnd"/>
            <w:r>
              <w:rPr>
                <w:color w:val="1155CC"/>
                <w:u w:val="single"/>
              </w:rPr>
              <w:t xml:space="preserve"> </w:t>
            </w:r>
            <w:proofErr w:type="spellStart"/>
            <w:r>
              <w:rPr>
                <w:color w:val="1155CC"/>
                <w:u w:val="single"/>
              </w:rPr>
              <w:t>Sarntivijai</w:t>
            </w:r>
            <w:proofErr w:type="spellEnd"/>
          </w:hyperlink>
          <w:r>
            <w:t xml:space="preserve">, </w:t>
          </w:r>
          <w:hyperlink r:id="rId82" w:history="1">
            <w:r>
              <w:rPr>
                <w:color w:val="1155CC"/>
                <w:u w:val="single"/>
              </w:rPr>
              <w:t>Stephanie Suhr</w:t>
            </w:r>
          </w:hyperlink>
          <w:r>
            <w:t xml:space="preserve">, </w:t>
          </w:r>
          <w:hyperlink r:id="rId83" w:history="1">
            <w:r>
              <w:rPr>
                <w:color w:val="1155CC"/>
                <w:u w:val="single"/>
              </w:rPr>
              <w:t>Nicole Vasilevsky</w:t>
            </w:r>
          </w:hyperlink>
          <w:r>
            <w:t xml:space="preserve">, and </w:t>
          </w:r>
          <w:hyperlink r:id="rId84" w:history="1">
            <w:r>
              <w:rPr>
                <w:color w:val="1155CC"/>
                <w:u w:val="single"/>
              </w:rPr>
              <w:t>Eleanor Williams</w:t>
            </w:r>
          </w:hyperlink>
          <w:r>
            <w:t xml:space="preserve"> for their valuable feedback and suggestions. We also wish to thank the </w:t>
          </w:r>
          <w:proofErr w:type="spellStart"/>
          <w:r>
            <w:t>BioMedBridges</w:t>
          </w:r>
          <w:proofErr w:type="spellEnd"/>
          <w:r>
            <w:t xml:space="preserve"> Scientific Advisory Board for the suggestion to address this important issue and the reviewers for their constructive comments.</w:t>
          </w:r>
        </w:p>
      </w:sdtContent>
    </w:sdt>
    <w:sdt>
      <w:sdtPr>
        <w:tag w:val="ox:5dad7e82-6d85-52fd-ad70-37809e874d66"/>
        <w:id w:val="-681051811"/>
      </w:sdtPr>
      <w:sdtContent>
        <w:p w14:paraId="44967ABF" w14:textId="77777777" w:rsidR="00B14F43" w:rsidRDefault="00000000">
          <w:pPr>
            <w:pStyle w:val="LO-normal"/>
            <w:spacing w:after="200"/>
            <w:jc w:val="left"/>
          </w:pPr>
        </w:p>
      </w:sdtContent>
    </w:sdt>
    <w:sdt>
      <w:sdtPr>
        <w:tag w:val="ox:40e5eed9-84ac-5a61-a909-2b3817275059"/>
        <w:id w:val="-1032346995"/>
      </w:sdtPr>
      <w:sdtContent>
        <w:p w14:paraId="5BEFC647" w14:textId="77777777" w:rsidR="00B14F43" w:rsidRDefault="00000000">
          <w:pPr>
            <w:pStyle w:val="LO-normal"/>
          </w:pPr>
        </w:p>
      </w:sdtContent>
    </w:sdt>
    <w:sdt>
      <w:sdtPr>
        <w:tag w:val="ox:97df4e27-7650-55f6-a9d6-ea58e1b6365f"/>
        <w:id w:val="1552887834"/>
      </w:sdtPr>
      <w:sdtContent>
        <w:p w14:paraId="18968A48" w14:textId="77777777" w:rsidR="00B14F43" w:rsidRDefault="00000000">
          <w:pPr>
            <w:pStyle w:val="LO-normal"/>
          </w:pPr>
        </w:p>
      </w:sdtContent>
    </w:sdt>
    <w:sdt>
      <w:sdtPr>
        <w:tag w:val="ox:f1596da4-ab0a-55d1-b14d-29d4b3292b2c"/>
        <w:id w:val="-1491947948"/>
      </w:sdtPr>
      <w:sdtContent>
        <w:p w14:paraId="6243A2A1" w14:textId="77777777" w:rsidR="00B14F43" w:rsidRDefault="00000000">
          <w:pPr>
            <w:pStyle w:val="Heading1"/>
            <w:contextualSpacing w:val="0"/>
          </w:pPr>
        </w:p>
      </w:sdtContent>
    </w:sdt>
    <w:sdt>
      <w:sdtPr>
        <w:tag w:val="ox:564a11b9-b467-586c-b360-1e5bb0856dc2"/>
        <w:id w:val="952598184"/>
      </w:sdtPr>
      <w:sdtContent>
        <w:p w14:paraId="57C2D659" w14:textId="77777777" w:rsidR="00B14F43" w:rsidRDefault="00000000">
          <w:pPr>
            <w:pStyle w:val="LO-normal"/>
          </w:pPr>
        </w:p>
      </w:sdtContent>
    </w:sdt>
    <w:sdt>
      <w:sdtPr>
        <w:tag w:val="ox:8408f197-4ffc-5515-a752-4757a57bd230"/>
        <w:id w:val="1455366749"/>
      </w:sdtPr>
      <w:sdtContent>
        <w:p w14:paraId="68A608B2" w14:textId="77777777" w:rsidR="00B14F43" w:rsidRDefault="00000000">
          <w:pPr>
            <w:pStyle w:val="Heading1"/>
            <w:pageBreakBefore/>
            <w:contextualSpacing w:val="0"/>
          </w:pPr>
          <w:r>
            <w:t>References</w:t>
          </w:r>
        </w:p>
      </w:sdtContent>
    </w:sdt>
    <w:sdt>
      <w:sdtPr>
        <w:tag w:val="ox:1ad1a097-1df5-5ada-a6d1-0f22daf89845"/>
        <w:id w:val="-665867998"/>
      </w:sdtPr>
      <w:sdtContent>
        <w:p w14:paraId="44A871E0" w14:textId="77777777" w:rsidR="00B14F43" w:rsidRDefault="00000000">
          <w:pPr>
            <w:pStyle w:val="LO-normal"/>
          </w:pPr>
        </w:p>
      </w:sdtContent>
    </w:sdt>
    <w:sdt>
      <w:sdtPr>
        <w:tag w:val="ox:4395c812-8d06-5494-a6c9-9877ef9943a9"/>
        <w:id w:val="-359820439"/>
      </w:sdtPr>
      <w:sdtContent>
        <w:p w14:paraId="0D2576B8" w14:textId="77777777" w:rsidR="00B14F43" w:rsidRDefault="00000000">
          <w:pPr>
            <w:pStyle w:val="LO-normal"/>
            <w:numPr>
              <w:ilvl w:val="0"/>
              <w:numId w:val="1"/>
            </w:numPr>
            <w:spacing w:after="120" w:line="220" w:lineRule="exact"/>
            <w:ind w:left="714" w:hanging="357"/>
            <w:contextualSpacing/>
          </w:pPr>
          <w:r>
            <w:rPr>
              <w:sz w:val="20"/>
            </w:rPr>
            <w:t xml:space="preserve">Van de </w:t>
          </w:r>
          <w:proofErr w:type="spellStart"/>
          <w:r>
            <w:rPr>
              <w:sz w:val="20"/>
            </w:rPr>
            <w:t>Sompel</w:t>
          </w:r>
          <w:proofErr w:type="spellEnd"/>
          <w:r>
            <w:rPr>
              <w:sz w:val="20"/>
            </w:rPr>
            <w:t xml:space="preserve"> H, Sanderson R, Shankar H, Klein M (2014) Persistent Identifiers for Scholarly Assets and the Web: The Need for an Unambiguous Mapping. International Journal of Digital Curation 9: 331-342. </w:t>
          </w:r>
          <w:proofErr w:type="spellStart"/>
          <w:r>
            <w:rPr>
              <w:sz w:val="20"/>
            </w:rPr>
            <w:t>doi</w:t>
          </w:r>
          <w:proofErr w:type="spellEnd"/>
          <w:r>
            <w:rPr>
              <w:sz w:val="20"/>
            </w:rPr>
            <w:t>: 10.2218/</w:t>
          </w:r>
          <w:proofErr w:type="gramStart"/>
          <w:r>
            <w:rPr>
              <w:sz w:val="20"/>
            </w:rPr>
            <w:t>ijdc.v</w:t>
          </w:r>
          <w:proofErr w:type="gramEnd"/>
          <w:r>
            <w:rPr>
              <w:sz w:val="20"/>
            </w:rPr>
            <w:t>9i1.320</w:t>
          </w:r>
        </w:p>
      </w:sdtContent>
    </w:sdt>
    <w:sdt>
      <w:sdtPr>
        <w:tag w:val="ox:274345cd-aaf1-5065-b46f-ee9a6b9f7cde"/>
        <w:id w:val="2107684729"/>
      </w:sdtPr>
      <w:sdtContent>
        <w:p w14:paraId="71482A3C" w14:textId="77777777" w:rsidR="00B14F43" w:rsidRDefault="00000000">
          <w:pPr>
            <w:pStyle w:val="LO-normal"/>
            <w:numPr>
              <w:ilvl w:val="0"/>
              <w:numId w:val="1"/>
            </w:numPr>
            <w:spacing w:after="120" w:line="220" w:lineRule="exact"/>
            <w:ind w:left="714" w:hanging="357"/>
            <w:contextualSpacing/>
          </w:pPr>
          <w:r>
            <w:rPr>
              <w:sz w:val="20"/>
            </w:rPr>
            <w:t>Data Citation Synthesis Group (2014) Joint Declaration of Data Citation Principles. Martone M. (ed.) San Diego CA: FORCE11. [Internet] Available: [</w:t>
          </w:r>
          <w:hyperlink r:id="rId85" w:history="1">
            <w:r>
              <w:rPr>
                <w:color w:val="1155CC"/>
                <w:sz w:val="20"/>
                <w:u w:val="single"/>
              </w:rPr>
              <w:t>https://www.force11.org/datacitation</w:t>
            </w:r>
          </w:hyperlink>
          <w:r>
            <w:rPr>
              <w:sz w:val="20"/>
            </w:rPr>
            <w:t>. Accessed: 23 September 2015.</w:t>
          </w:r>
        </w:p>
      </w:sdtContent>
    </w:sdt>
    <w:sdt>
      <w:sdtPr>
        <w:tag w:val="ox:16a3daee-8acd-56c0-af1b-907e64f3465b"/>
        <w:id w:val="321086441"/>
      </w:sdtPr>
      <w:sdtContent>
        <w:p w14:paraId="7889453E" w14:textId="77777777" w:rsidR="00B14F43" w:rsidRDefault="00000000">
          <w:pPr>
            <w:pStyle w:val="LO-normal"/>
            <w:numPr>
              <w:ilvl w:val="0"/>
              <w:numId w:val="1"/>
            </w:numPr>
            <w:spacing w:after="120" w:line="220" w:lineRule="exact"/>
            <w:ind w:left="714" w:hanging="357"/>
            <w:contextualSpacing/>
          </w:pPr>
          <w:r>
            <w:rPr>
              <w:sz w:val="20"/>
            </w:rPr>
            <w:t xml:space="preserve">Altman M, </w:t>
          </w:r>
          <w:proofErr w:type="spellStart"/>
          <w:r>
            <w:rPr>
              <w:sz w:val="20"/>
            </w:rPr>
            <w:t>Crosas</w:t>
          </w:r>
          <w:proofErr w:type="spellEnd"/>
          <w:r>
            <w:rPr>
              <w:sz w:val="20"/>
            </w:rPr>
            <w:t xml:space="preserve"> M (2013) The Evolution of Data Citation: From Principles to Implementation. IASSIST Quarterly 37. Available: </w:t>
          </w:r>
          <w:hyperlink r:id="rId86" w:history="1">
            <w:r>
              <w:rPr>
                <w:color w:val="1155CC"/>
                <w:sz w:val="20"/>
                <w:u w:val="single"/>
              </w:rPr>
              <w:t>http://www.iassistdata.org/downloads/iqvol371_4_altman.pdf</w:t>
            </w:r>
          </w:hyperlink>
          <w:r>
            <w:rPr>
              <w:sz w:val="20"/>
            </w:rPr>
            <w:t>. Accessed: 23 September 2015.</w:t>
          </w:r>
        </w:p>
      </w:sdtContent>
    </w:sdt>
    <w:sdt>
      <w:sdtPr>
        <w:tag w:val="ox:cd4c1606-7389-51e9-98d0-59b6f0ce6c0b"/>
        <w:id w:val="1128435217"/>
      </w:sdtPr>
      <w:sdtContent>
        <w:p w14:paraId="453248B2" w14:textId="77777777" w:rsidR="00B14F43" w:rsidRDefault="00000000">
          <w:pPr>
            <w:pStyle w:val="LO-normal"/>
            <w:numPr>
              <w:ilvl w:val="0"/>
              <w:numId w:val="1"/>
            </w:numPr>
            <w:spacing w:after="120" w:line="220" w:lineRule="exact"/>
            <w:ind w:left="714" w:hanging="357"/>
            <w:contextualSpacing/>
          </w:pPr>
          <w:r>
            <w:rPr>
              <w:sz w:val="20"/>
            </w:rPr>
            <w:t xml:space="preserve">Bandrowski A, Brush M, Grethe JS, Haendel MA, Kennedy DN, Hill S, et al. (2015) The Resource Identification Initiative: A cultural shift in publishing [version 1; referees: 2 approved] F1000Research 2015, 4:134. </w:t>
          </w:r>
          <w:proofErr w:type="spellStart"/>
          <w:r>
            <w:rPr>
              <w:sz w:val="20"/>
            </w:rPr>
            <w:t>doi</w:t>
          </w:r>
          <w:proofErr w:type="spellEnd"/>
          <w:r>
            <w:rPr>
              <w:sz w:val="20"/>
            </w:rPr>
            <w:t>: 10.12688/f1000research.6555.1</w:t>
          </w:r>
        </w:p>
      </w:sdtContent>
    </w:sdt>
    <w:sdt>
      <w:sdtPr>
        <w:tag w:val="ox:68ff8bfd-449e-5b90-8f64-6e8e034b3cda"/>
        <w:id w:val="-2132001903"/>
      </w:sdtPr>
      <w:sdtContent>
        <w:p w14:paraId="351BA12B" w14:textId="77777777" w:rsidR="00B14F43" w:rsidRDefault="00000000">
          <w:pPr>
            <w:pStyle w:val="LO-normal"/>
            <w:numPr>
              <w:ilvl w:val="0"/>
              <w:numId w:val="1"/>
            </w:numPr>
            <w:spacing w:after="120" w:line="220" w:lineRule="exact"/>
            <w:ind w:left="714" w:hanging="357"/>
            <w:contextualSpacing/>
          </w:pPr>
          <w:r>
            <w:rPr>
              <w:sz w:val="20"/>
            </w:rPr>
            <w:t>The FAIR data Guiding Principles [Internet]. Available:</w:t>
          </w:r>
          <w:hyperlink r:id="rId87" w:history="1">
            <w:r>
              <w:rPr>
                <w:color w:val="000080"/>
                <w:sz w:val="20"/>
                <w:u w:val="single"/>
              </w:rPr>
              <w:t xml:space="preserve"> </w:t>
            </w:r>
            <w:r>
              <w:rPr>
                <w:color w:val="1155CC"/>
                <w:sz w:val="20"/>
                <w:u w:val="single"/>
              </w:rPr>
              <w:t>https://www.force11.org/group/fairgroup/fairprinciples</w:t>
            </w:r>
          </w:hyperlink>
          <w:r>
            <w:rPr>
              <w:sz w:val="20"/>
            </w:rPr>
            <w:t>. Accessed:  23 September 2015.</w:t>
          </w:r>
        </w:p>
      </w:sdtContent>
    </w:sdt>
    <w:sdt>
      <w:sdtPr>
        <w:tag w:val="ox:565adf43-8fb7-59a1-81a5-009723fe443f"/>
        <w:id w:val="-2072262705"/>
      </w:sdtPr>
      <w:sdtContent>
        <w:p w14:paraId="0002B38F" w14:textId="77777777" w:rsidR="00B14F43" w:rsidRDefault="00000000">
          <w:pPr>
            <w:pStyle w:val="LO-normal"/>
            <w:numPr>
              <w:ilvl w:val="0"/>
              <w:numId w:val="1"/>
            </w:numPr>
            <w:spacing w:after="120" w:line="220" w:lineRule="exact"/>
            <w:ind w:left="714" w:hanging="357"/>
            <w:contextualSpacing/>
          </w:pPr>
          <w:r>
            <w:rPr>
              <w:sz w:val="20"/>
            </w:rPr>
            <w:t xml:space="preserve">Starr J, Castro E, </w:t>
          </w:r>
          <w:proofErr w:type="spellStart"/>
          <w:r>
            <w:rPr>
              <w:sz w:val="20"/>
            </w:rPr>
            <w:t>Crosas</w:t>
          </w:r>
          <w:proofErr w:type="spellEnd"/>
          <w:r>
            <w:rPr>
              <w:sz w:val="20"/>
            </w:rPr>
            <w:t xml:space="preserve"> M, Dumontier M, Downs RR, Duerr R, et al. (2015) Achieving human and machine accessibility of cited data in scholarly publications. </w:t>
          </w:r>
          <w:proofErr w:type="spellStart"/>
          <w:r>
            <w:rPr>
              <w:sz w:val="20"/>
            </w:rPr>
            <w:t>PeerJ</w:t>
          </w:r>
          <w:proofErr w:type="spellEnd"/>
          <w:r>
            <w:rPr>
              <w:sz w:val="20"/>
            </w:rPr>
            <w:t xml:space="preserve"> </w:t>
          </w:r>
          <w:proofErr w:type="spellStart"/>
          <w:r>
            <w:rPr>
              <w:sz w:val="20"/>
            </w:rPr>
            <w:t>PrePrints</w:t>
          </w:r>
          <w:proofErr w:type="spellEnd"/>
          <w:r>
            <w:rPr>
              <w:sz w:val="20"/>
            </w:rPr>
            <w:t xml:space="preserve"> </w:t>
          </w:r>
          <w:proofErr w:type="gramStart"/>
          <w:r>
            <w:rPr>
              <w:sz w:val="20"/>
            </w:rPr>
            <w:t>3:e</w:t>
          </w:r>
          <w:proofErr w:type="gramEnd"/>
          <w:r>
            <w:rPr>
              <w:sz w:val="20"/>
            </w:rPr>
            <w:t>697v4.</w:t>
          </w:r>
          <w:hyperlink r:id="rId88" w:history="1">
            <w:r>
              <w:rPr>
                <w:color w:val="000080"/>
                <w:sz w:val="20"/>
                <w:u w:val="single"/>
              </w:rPr>
              <w:t xml:space="preserve"> </w:t>
            </w:r>
            <w:r>
              <w:rPr>
                <w:color w:val="1155CC"/>
                <w:sz w:val="20"/>
                <w:u w:val="single"/>
              </w:rPr>
              <w:t>https://dx.doi.org/10.7287/peerj.preprints.697v4</w:t>
            </w:r>
          </w:hyperlink>
        </w:p>
      </w:sdtContent>
    </w:sdt>
    <w:sdt>
      <w:sdtPr>
        <w:tag w:val="ox:401933f9-8012-527a-a8b8-ebec7215eec9"/>
        <w:id w:val="-974755792"/>
      </w:sdtPr>
      <w:sdtContent>
        <w:p w14:paraId="02AF2CA0" w14:textId="77777777" w:rsidR="00B14F43" w:rsidRDefault="00000000">
          <w:pPr>
            <w:pStyle w:val="LO-normal"/>
            <w:numPr>
              <w:ilvl w:val="0"/>
              <w:numId w:val="1"/>
            </w:numPr>
            <w:spacing w:after="120" w:line="220" w:lineRule="exact"/>
            <w:ind w:left="714" w:hanging="357"/>
            <w:contextualSpacing/>
          </w:pPr>
          <w:r>
            <w:rPr>
              <w:sz w:val="20"/>
            </w:rPr>
            <w:t>Bradner S (1997) Key words for use in RFCs to Indicate Requirement Levels. [Internet]. Available:</w:t>
          </w:r>
          <w:hyperlink r:id="rId89" w:history="1">
            <w:r>
              <w:rPr>
                <w:color w:val="000080"/>
                <w:sz w:val="20"/>
                <w:u w:val="single"/>
              </w:rPr>
              <w:t xml:space="preserve"> </w:t>
            </w:r>
            <w:r>
              <w:rPr>
                <w:color w:val="1155CC"/>
                <w:sz w:val="20"/>
                <w:u w:val="single"/>
              </w:rPr>
              <w:t>http://www.ietf.org/rfc/rfc2119.txt</w:t>
            </w:r>
          </w:hyperlink>
          <w:r>
            <w:rPr>
              <w:sz w:val="20"/>
            </w:rPr>
            <w:t>. Accessed: 23 September 2015.</w:t>
          </w:r>
        </w:p>
      </w:sdtContent>
    </w:sdt>
    <w:sdt>
      <w:sdtPr>
        <w:tag w:val="ox:8a90ce47-ca25-5607-bd09-5f75d8506ad7"/>
        <w:id w:val="1394461793"/>
      </w:sdtPr>
      <w:sdtContent>
        <w:p w14:paraId="154FA808" w14:textId="77777777" w:rsidR="00B14F43" w:rsidRDefault="00000000">
          <w:pPr>
            <w:pStyle w:val="LO-normal"/>
            <w:numPr>
              <w:ilvl w:val="0"/>
              <w:numId w:val="1"/>
            </w:numPr>
            <w:spacing w:after="120" w:line="220" w:lineRule="exact"/>
            <w:ind w:left="714" w:hanging="357"/>
            <w:contextualSpacing/>
          </w:pPr>
          <w:r>
            <w:rPr>
              <w:sz w:val="20"/>
            </w:rPr>
            <w:t>Local Resource Identifier Scheme. [Internet] Available:</w:t>
          </w:r>
          <w:hyperlink r:id="rId90" w:history="1">
            <w:r>
              <w:rPr>
                <w:color w:val="000080"/>
                <w:sz w:val="20"/>
                <w:u w:val="single"/>
              </w:rPr>
              <w:t xml:space="preserve"> </w:t>
            </w:r>
            <w:r>
              <w:rPr>
                <w:color w:val="1155CC"/>
                <w:sz w:val="20"/>
                <w:u w:val="single"/>
              </w:rPr>
              <w:t>http://purl.org/spar/datacite/local-resource-identifier-scheme</w:t>
            </w:r>
          </w:hyperlink>
          <w:r>
            <w:rPr>
              <w:sz w:val="20"/>
            </w:rPr>
            <w:t>. Accessed: 23 September 2015.</w:t>
          </w:r>
        </w:p>
      </w:sdtContent>
    </w:sdt>
    <w:sdt>
      <w:sdtPr>
        <w:tag w:val="ox:7e51b0fa-b204-5aee-8e96-cce53acef169"/>
        <w:id w:val="390863962"/>
      </w:sdtPr>
      <w:sdtContent>
        <w:p w14:paraId="2BEDFB2C" w14:textId="77777777" w:rsidR="00B14F43" w:rsidRDefault="00000000">
          <w:pPr>
            <w:pStyle w:val="LO-normal"/>
            <w:numPr>
              <w:ilvl w:val="0"/>
              <w:numId w:val="1"/>
            </w:numPr>
            <w:spacing w:after="120" w:line="220" w:lineRule="exact"/>
            <w:ind w:left="714" w:hanging="357"/>
            <w:contextualSpacing/>
          </w:pPr>
          <w:r>
            <w:rPr>
              <w:sz w:val="20"/>
            </w:rPr>
            <w:t xml:space="preserve">Zeeberg BR, Riss J, Kane DW, Bussey KJ, </w:t>
          </w:r>
          <w:proofErr w:type="spellStart"/>
          <w:r>
            <w:rPr>
              <w:sz w:val="20"/>
            </w:rPr>
            <w:t>Uchio</w:t>
          </w:r>
          <w:proofErr w:type="spellEnd"/>
          <w:r>
            <w:rPr>
              <w:sz w:val="20"/>
            </w:rPr>
            <w:t xml:space="preserve"> E, Linehan WM, et al. (2004) Mistaken identifiers: gene name errors can be introduced inadvertently when using Excel in bioinformatics. BMC Bioinformatics. 23: 80. </w:t>
          </w:r>
        </w:p>
      </w:sdtContent>
    </w:sdt>
    <w:sdt>
      <w:sdtPr>
        <w:tag w:val="ox:2de72588-a952-5d3d-ba86-79d7cdf048ce"/>
        <w:id w:val="-145129512"/>
      </w:sdtPr>
      <w:sdtContent>
        <w:p w14:paraId="63C98433" w14:textId="77777777" w:rsidR="00B14F43" w:rsidRDefault="00000000">
          <w:pPr>
            <w:pStyle w:val="LO-normal"/>
            <w:numPr>
              <w:ilvl w:val="0"/>
              <w:numId w:val="1"/>
            </w:numPr>
            <w:spacing w:after="120" w:line="220" w:lineRule="exact"/>
            <w:ind w:left="714" w:hanging="357"/>
            <w:contextualSpacing/>
          </w:pPr>
          <w:proofErr w:type="spellStart"/>
          <w:r>
            <w:rPr>
              <w:sz w:val="20"/>
            </w:rPr>
            <w:t>Juty</w:t>
          </w:r>
          <w:proofErr w:type="spellEnd"/>
          <w:r>
            <w:rPr>
              <w:sz w:val="20"/>
            </w:rPr>
            <w:t xml:space="preserve"> N, Le </w:t>
          </w:r>
          <w:proofErr w:type="spellStart"/>
          <w:r>
            <w:rPr>
              <w:sz w:val="20"/>
            </w:rPr>
            <w:t>Novère</w:t>
          </w:r>
          <w:proofErr w:type="spellEnd"/>
          <w:r>
            <w:rPr>
              <w:sz w:val="20"/>
            </w:rPr>
            <w:t xml:space="preserve"> N, </w:t>
          </w:r>
          <w:proofErr w:type="spellStart"/>
          <w:r>
            <w:rPr>
              <w:sz w:val="20"/>
            </w:rPr>
            <w:t>Hermjakob</w:t>
          </w:r>
          <w:proofErr w:type="spellEnd"/>
          <w:r>
            <w:rPr>
              <w:sz w:val="20"/>
            </w:rPr>
            <w:t xml:space="preserve"> H, and Laibe C. (2012) Delivering Cool URIs that Don’t Change. Proceedings of the Semantic Web Applications and Tools for the Life Sciences (SWAT4LS) 2012. </w:t>
          </w:r>
          <w:hyperlink r:id="rId91" w:history="1">
            <w:r>
              <w:rPr>
                <w:color w:val="1155CC"/>
                <w:sz w:val="20"/>
                <w:u w:val="single"/>
              </w:rPr>
              <w:t>http://ceur-ws.org/Vol-952/paper_4.pdf.</w:t>
            </w:r>
          </w:hyperlink>
        </w:p>
      </w:sdtContent>
    </w:sdt>
    <w:sdt>
      <w:sdtPr>
        <w:tag w:val="ox:5b931191-7ed4-5c66-b131-ec798bd6bac3"/>
        <w:id w:val="-695698620"/>
      </w:sdtPr>
      <w:sdtContent>
        <w:p w14:paraId="44E181BA" w14:textId="77777777" w:rsidR="00B14F43" w:rsidRDefault="00000000">
          <w:pPr>
            <w:pStyle w:val="LO-normal"/>
            <w:numPr>
              <w:ilvl w:val="0"/>
              <w:numId w:val="1"/>
            </w:numPr>
            <w:spacing w:after="120" w:line="220" w:lineRule="exact"/>
            <w:ind w:left="714" w:hanging="357"/>
            <w:contextualSpacing/>
          </w:pPr>
          <w:proofErr w:type="spellStart"/>
          <w:r>
            <w:rPr>
              <w:sz w:val="20"/>
            </w:rPr>
            <w:t>Sporny</w:t>
          </w:r>
          <w:proofErr w:type="spellEnd"/>
          <w:r>
            <w:rPr>
              <w:sz w:val="20"/>
            </w:rPr>
            <w:t xml:space="preserve"> M (2011) The Case for Curies. [Internet] Available: </w:t>
          </w:r>
          <w:hyperlink r:id="rId92" w:history="1">
            <w:r>
              <w:rPr>
                <w:color w:val="1155CC"/>
                <w:sz w:val="20"/>
                <w:u w:val="single"/>
              </w:rPr>
              <w:t>http://manu.sporny.org/2011/case-for-curies/</w:t>
            </w:r>
          </w:hyperlink>
          <w:r>
            <w:rPr>
              <w:sz w:val="20"/>
            </w:rPr>
            <w:t>.  Accessed: 23 September 2015.</w:t>
          </w:r>
        </w:p>
      </w:sdtContent>
    </w:sdt>
    <w:sdt>
      <w:sdtPr>
        <w:tag w:val="ox:f490a278-8207-5506-9e5f-965795eca8ab"/>
        <w:id w:val="872970478"/>
      </w:sdtPr>
      <w:sdtContent>
        <w:p w14:paraId="1A3A9750" w14:textId="77777777" w:rsidR="00B14F43" w:rsidRDefault="00000000">
          <w:pPr>
            <w:pStyle w:val="LO-normal"/>
            <w:numPr>
              <w:ilvl w:val="0"/>
              <w:numId w:val="1"/>
            </w:numPr>
            <w:spacing w:after="120" w:line="220" w:lineRule="exact"/>
            <w:ind w:left="714" w:hanging="357"/>
            <w:contextualSpacing/>
          </w:pPr>
          <w:r>
            <w:rPr>
              <w:sz w:val="20"/>
            </w:rPr>
            <w:t xml:space="preserve">W3C Working Group (2010) CURIE Syntax 1.0. [Internet] Available: </w:t>
          </w:r>
          <w:hyperlink r:id="rId93" w:history="1">
            <w:r>
              <w:rPr>
                <w:color w:val="1155CC"/>
                <w:sz w:val="20"/>
                <w:u w:val="single"/>
              </w:rPr>
              <w:t>http://www.w3.org/TR/curie/</w:t>
            </w:r>
          </w:hyperlink>
          <w:r>
            <w:rPr>
              <w:sz w:val="20"/>
            </w:rPr>
            <w:t>. Accessed: 23 September 2015.</w:t>
          </w:r>
        </w:p>
      </w:sdtContent>
    </w:sdt>
    <w:sdt>
      <w:sdtPr>
        <w:tag w:val="ox:e1f797b5-cc09-53a5-8fa6-02b7775f9f35"/>
        <w:id w:val="-1951916892"/>
      </w:sdtPr>
      <w:sdtContent>
        <w:p w14:paraId="54CB8A43" w14:textId="77777777" w:rsidR="00B14F43" w:rsidRDefault="00000000">
          <w:pPr>
            <w:pStyle w:val="LO-normal"/>
            <w:numPr>
              <w:ilvl w:val="0"/>
              <w:numId w:val="1"/>
            </w:numPr>
            <w:spacing w:after="120" w:line="220" w:lineRule="exact"/>
            <w:ind w:left="714" w:hanging="357"/>
            <w:contextualSpacing/>
          </w:pPr>
          <w:r>
            <w:rPr>
              <w:sz w:val="20"/>
            </w:rPr>
            <w:t>Kunze J, Rodgers R. ARK Specification [Internet] Available:</w:t>
          </w:r>
          <w:hyperlink r:id="rId94" w:history="1">
            <w:r>
              <w:rPr>
                <w:color w:val="000080"/>
                <w:sz w:val="20"/>
                <w:u w:val="single"/>
              </w:rPr>
              <w:t xml:space="preserve"> </w:t>
            </w:r>
            <w:r>
              <w:rPr>
                <w:color w:val="1155CC"/>
                <w:sz w:val="20"/>
                <w:u w:val="single"/>
              </w:rPr>
              <w:t>http://www.cdlib.org/services/uc3/arkspec.pdf</w:t>
            </w:r>
          </w:hyperlink>
          <w:r>
            <w:rPr>
              <w:sz w:val="20"/>
            </w:rPr>
            <w:t>. Accessed: 23 September 2015.</w:t>
          </w:r>
        </w:p>
      </w:sdtContent>
    </w:sdt>
    <w:sdt>
      <w:sdtPr>
        <w:tag w:val="ox:349e491a-ec76-5e2c-bdf4-e2bfa76a3c05"/>
        <w:id w:val="102539510"/>
      </w:sdtPr>
      <w:sdtContent>
        <w:p w14:paraId="1F842101" w14:textId="77777777" w:rsidR="00B14F43" w:rsidRDefault="00000000">
          <w:pPr>
            <w:pStyle w:val="LO-normal"/>
            <w:numPr>
              <w:ilvl w:val="0"/>
              <w:numId w:val="1"/>
            </w:numPr>
            <w:spacing w:after="120" w:line="220" w:lineRule="exact"/>
            <w:ind w:left="714" w:hanging="357"/>
            <w:contextualSpacing/>
          </w:pPr>
          <w:r>
            <w:rPr>
              <w:sz w:val="20"/>
            </w:rPr>
            <w:t xml:space="preserve">Jain E, </w:t>
          </w:r>
          <w:proofErr w:type="spellStart"/>
          <w:r>
            <w:rPr>
              <w:sz w:val="20"/>
            </w:rPr>
            <w:t>Bairoch</w:t>
          </w:r>
          <w:proofErr w:type="spellEnd"/>
          <w:r>
            <w:rPr>
              <w:sz w:val="20"/>
            </w:rPr>
            <w:t xml:space="preserve"> A, </w:t>
          </w:r>
          <w:proofErr w:type="spellStart"/>
          <w:r>
            <w:rPr>
              <w:sz w:val="20"/>
            </w:rPr>
            <w:t>Duvaud</w:t>
          </w:r>
          <w:proofErr w:type="spellEnd"/>
          <w:r>
            <w:rPr>
              <w:sz w:val="20"/>
            </w:rPr>
            <w:t xml:space="preserve"> S, Phan I, </w:t>
          </w:r>
          <w:proofErr w:type="spellStart"/>
          <w:r>
            <w:rPr>
              <w:sz w:val="20"/>
            </w:rPr>
            <w:t>Redaschi</w:t>
          </w:r>
          <w:proofErr w:type="spellEnd"/>
          <w:r>
            <w:rPr>
              <w:sz w:val="20"/>
            </w:rPr>
            <w:t xml:space="preserve"> N, </w:t>
          </w:r>
          <w:proofErr w:type="spellStart"/>
          <w:r>
            <w:rPr>
              <w:sz w:val="20"/>
            </w:rPr>
            <w:t>Suzek</w:t>
          </w:r>
          <w:proofErr w:type="spellEnd"/>
          <w:r>
            <w:rPr>
              <w:sz w:val="20"/>
            </w:rPr>
            <w:t xml:space="preserve"> BE, et al. (2009) Infrastructure for the life sciences: design and implementation of the </w:t>
          </w:r>
          <w:proofErr w:type="spellStart"/>
          <w:r>
            <w:rPr>
              <w:sz w:val="20"/>
            </w:rPr>
            <w:t>UniProt</w:t>
          </w:r>
          <w:proofErr w:type="spellEnd"/>
          <w:r>
            <w:rPr>
              <w:sz w:val="20"/>
            </w:rPr>
            <w:t xml:space="preserve"> website. BMC Bioinformatics. 10: 136. </w:t>
          </w:r>
          <w:proofErr w:type="spellStart"/>
          <w:r>
            <w:rPr>
              <w:sz w:val="20"/>
            </w:rPr>
            <w:t>doi</w:t>
          </w:r>
          <w:proofErr w:type="spellEnd"/>
          <w:r>
            <w:rPr>
              <w:sz w:val="20"/>
            </w:rPr>
            <w:t>: 10.1186/1471-2105-10-136.</w:t>
          </w:r>
        </w:p>
      </w:sdtContent>
    </w:sdt>
    <w:sdt>
      <w:sdtPr>
        <w:tag w:val="ox:db1aa940-2596-5933-bdd6-37aadfb915c4"/>
        <w:id w:val="1641233070"/>
      </w:sdtPr>
      <w:sdtContent>
        <w:p w14:paraId="2AF2F616" w14:textId="77777777" w:rsidR="00B14F43" w:rsidRDefault="00000000">
          <w:pPr>
            <w:pStyle w:val="LO-normal"/>
            <w:numPr>
              <w:ilvl w:val="0"/>
              <w:numId w:val="1"/>
            </w:numPr>
            <w:spacing w:after="120" w:line="220" w:lineRule="exact"/>
            <w:ind w:left="714" w:hanging="357"/>
            <w:contextualSpacing/>
          </w:pPr>
          <w:r>
            <w:rPr>
              <w:sz w:val="20"/>
            </w:rPr>
            <w:t>Kratz J, Strasser C. Data publication consensus and controversies [v3; ref status: indexed,</w:t>
          </w:r>
          <w:hyperlink r:id="rId95" w:history="1">
            <w:r>
              <w:rPr>
                <w:color w:val="000080"/>
                <w:sz w:val="20"/>
                <w:u w:val="single"/>
              </w:rPr>
              <w:t xml:space="preserve"> </w:t>
            </w:r>
            <w:r>
              <w:rPr>
                <w:color w:val="1155CC"/>
                <w:sz w:val="20"/>
                <w:u w:val="single"/>
              </w:rPr>
              <w:t>http://f1000r.es/4ja</w:t>
            </w:r>
          </w:hyperlink>
          <w:r>
            <w:rPr>
              <w:sz w:val="20"/>
            </w:rPr>
            <w:t xml:space="preserve">] F1000Research 2014, 3:94 </w:t>
          </w:r>
          <w:proofErr w:type="spellStart"/>
          <w:r>
            <w:rPr>
              <w:sz w:val="20"/>
            </w:rPr>
            <w:t>doi</w:t>
          </w:r>
          <w:proofErr w:type="spellEnd"/>
          <w:r>
            <w:rPr>
              <w:sz w:val="20"/>
            </w:rPr>
            <w:t>: 10.12688/f1000research.3979.3</w:t>
          </w:r>
        </w:p>
      </w:sdtContent>
    </w:sdt>
    <w:sdt>
      <w:sdtPr>
        <w:tag w:val="ox:9ffac318-a376-5d0e-9f70-38059003924b"/>
        <w:id w:val="1968155803"/>
      </w:sdtPr>
      <w:sdtContent>
        <w:p w14:paraId="45D771D9" w14:textId="77777777" w:rsidR="00B14F43" w:rsidRDefault="00000000">
          <w:pPr>
            <w:pStyle w:val="LO-normal"/>
            <w:numPr>
              <w:ilvl w:val="0"/>
              <w:numId w:val="1"/>
            </w:numPr>
            <w:spacing w:after="120" w:line="220" w:lineRule="exact"/>
            <w:ind w:left="714" w:hanging="357"/>
            <w:contextualSpacing/>
          </w:pPr>
          <w:r>
            <w:rPr>
              <w:sz w:val="20"/>
            </w:rPr>
            <w:t xml:space="preserve">Gray AJG, Baran J, Marshall MS, Dumontier M. (2014) Identifiers in Dataset Descriptions: HCLS Community Profile. In: HCLS Community Profile [Internet]. W3C 2014 </w:t>
          </w:r>
          <w:proofErr w:type="gramStart"/>
          <w:r>
            <w:rPr>
              <w:sz w:val="20"/>
            </w:rPr>
            <w:t>- .</w:t>
          </w:r>
          <w:proofErr w:type="gramEnd"/>
          <w:r>
            <w:rPr>
              <w:sz w:val="20"/>
            </w:rPr>
            <w:t xml:space="preserve"> Available:</w:t>
          </w:r>
          <w:hyperlink r:id="rId96" w:anchor="s6_3" w:history="1">
            <w:r>
              <w:rPr>
                <w:color w:val="000080"/>
                <w:sz w:val="20"/>
                <w:u w:val="single"/>
              </w:rPr>
              <w:t xml:space="preserve"> </w:t>
            </w:r>
            <w:r>
              <w:rPr>
                <w:color w:val="1155CC"/>
                <w:sz w:val="20"/>
                <w:u w:val="single"/>
              </w:rPr>
              <w:t>https://htmlpreview.github.io/?https://github.com/indiedotkim/HCLSDatasetDescriptions/blob/master/Overview.html#s6_3</w:t>
            </w:r>
          </w:hyperlink>
          <w:r>
            <w:rPr>
              <w:sz w:val="20"/>
            </w:rPr>
            <w:t>. Accessed: 23 September 2015.</w:t>
          </w:r>
        </w:p>
      </w:sdtContent>
    </w:sdt>
    <w:sdt>
      <w:sdtPr>
        <w:tag w:val="ox:f152aa63-b046-53b9-a5ed-e17bd53dbb59"/>
        <w:id w:val="695196515"/>
      </w:sdtPr>
      <w:sdtContent>
        <w:p w14:paraId="75377316" w14:textId="77777777" w:rsidR="00B14F43" w:rsidRDefault="00000000">
          <w:pPr>
            <w:pStyle w:val="LO-normal"/>
            <w:numPr>
              <w:ilvl w:val="0"/>
              <w:numId w:val="1"/>
            </w:numPr>
            <w:spacing w:after="120" w:line="220" w:lineRule="exact"/>
            <w:ind w:left="714" w:hanging="357"/>
            <w:contextualSpacing/>
          </w:pPr>
          <w:r>
            <w:rPr>
              <w:sz w:val="20"/>
            </w:rPr>
            <w:t xml:space="preserve">Complete Example of a Dataset Description http://www.w3.org/TR/hcls-dataset/#appendix_1. [Internet] Available:  </w:t>
          </w:r>
          <w:hyperlink r:id="rId97" w:anchor="appendix_1" w:history="1">
            <w:r>
              <w:rPr>
                <w:color w:val="1155CC"/>
                <w:sz w:val="20"/>
                <w:u w:val="single"/>
              </w:rPr>
              <w:t>http://www.w3.org/TR/hcls-dataset/#appendix_1</w:t>
            </w:r>
          </w:hyperlink>
          <w:r>
            <w:rPr>
              <w:sz w:val="20"/>
            </w:rPr>
            <w:t xml:space="preserve">  Accessed: 23 September 2015.</w:t>
          </w:r>
        </w:p>
      </w:sdtContent>
    </w:sdt>
    <w:sdt>
      <w:sdtPr>
        <w:tag w:val="ox:c05c4307-cf65-52c4-9028-aac49d04c013"/>
        <w:id w:val="-966894459"/>
      </w:sdtPr>
      <w:sdtContent>
        <w:p w14:paraId="6B470A5A" w14:textId="77777777" w:rsidR="00B14F43" w:rsidRDefault="00000000">
          <w:pPr>
            <w:pStyle w:val="LO-normal"/>
            <w:numPr>
              <w:ilvl w:val="0"/>
              <w:numId w:val="1"/>
            </w:numPr>
            <w:spacing w:after="120" w:line="220" w:lineRule="exact"/>
            <w:ind w:left="714" w:hanging="357"/>
            <w:contextualSpacing/>
          </w:pPr>
          <w:r>
            <w:rPr>
              <w:sz w:val="20"/>
            </w:rPr>
            <w:t xml:space="preserve">DIPPER: The Monarch Data Ingest Pipeline. [Internet] Available:  </w:t>
          </w:r>
          <w:hyperlink r:id="rId98" w:anchor="identifiers" w:history="1">
            <w:r>
              <w:rPr>
                <w:color w:val="1155CC"/>
                <w:sz w:val="20"/>
                <w:u w:val="single"/>
              </w:rPr>
              <w:t>https://github.com/monarch-initiative/dipper/blob/master/README.md#identifiers</w:t>
            </w:r>
          </w:hyperlink>
          <w:r>
            <w:rPr>
              <w:sz w:val="20"/>
            </w:rPr>
            <w:t xml:space="preserve"> Accessed: 23 September 2015.</w:t>
          </w:r>
        </w:p>
      </w:sdtContent>
    </w:sdt>
    <w:sdt>
      <w:sdtPr>
        <w:tag w:val="ox:3f85807a-c379-5d9d-860d-76ba0832ac33"/>
        <w:id w:val="-1051065282"/>
      </w:sdtPr>
      <w:sdtContent>
        <w:p w14:paraId="1F65062C" w14:textId="77777777" w:rsidR="00B14F43" w:rsidRDefault="00000000">
          <w:pPr>
            <w:pStyle w:val="LO-normal"/>
            <w:numPr>
              <w:ilvl w:val="0"/>
              <w:numId w:val="1"/>
            </w:numPr>
            <w:spacing w:after="120" w:line="220" w:lineRule="exact"/>
            <w:ind w:left="714" w:hanging="357"/>
            <w:contextualSpacing/>
          </w:pPr>
          <w:proofErr w:type="spellStart"/>
          <w:r>
            <w:rPr>
              <w:sz w:val="20"/>
            </w:rPr>
            <w:t>Mietchen</w:t>
          </w:r>
          <w:proofErr w:type="spellEnd"/>
          <w:r>
            <w:rPr>
              <w:sz w:val="20"/>
            </w:rPr>
            <w:t xml:space="preserve"> D, McEntyre J, Beck J, et al. (2015) Force11 Data Citation Implementation Group Adapting JATS to support data citation. In: Journal Article Tag Suite Conference (JATS-Con) Proceedings 2015 [Internet] Available:</w:t>
          </w:r>
          <w:hyperlink r:id="rId99" w:history="1">
            <w:r>
              <w:rPr>
                <w:color w:val="000080"/>
                <w:sz w:val="20"/>
                <w:u w:val="single"/>
              </w:rPr>
              <w:t xml:space="preserve"> </w:t>
            </w:r>
            <w:r>
              <w:rPr>
                <w:color w:val="1155CC"/>
                <w:sz w:val="20"/>
                <w:u w:val="single"/>
              </w:rPr>
              <w:t>http://www.ncbi.nlm.nih.gov/books/NBK280240/?report=classic</w:t>
            </w:r>
          </w:hyperlink>
          <w:r>
            <w:rPr>
              <w:sz w:val="20"/>
            </w:rPr>
            <w:t>. Accessed: 23 September 2015.</w:t>
          </w:r>
        </w:p>
      </w:sdtContent>
    </w:sdt>
    <w:sdt>
      <w:sdtPr>
        <w:tag w:val="ox:15360906-1f96-5df7-aea8-11e1fab63a35"/>
        <w:id w:val="-144040962"/>
      </w:sdtPr>
      <w:sdtContent>
        <w:p w14:paraId="01AA99FC" w14:textId="77777777" w:rsidR="00B14F43" w:rsidRDefault="00000000">
          <w:pPr>
            <w:pStyle w:val="LO-normal"/>
            <w:numPr>
              <w:ilvl w:val="0"/>
              <w:numId w:val="1"/>
            </w:numPr>
            <w:spacing w:after="120" w:line="220" w:lineRule="exact"/>
            <w:ind w:left="714" w:hanging="357"/>
            <w:contextualSpacing/>
          </w:pPr>
          <w:r>
            <w:rPr>
              <w:sz w:val="20"/>
            </w:rPr>
            <w:t xml:space="preserve">Klein M, Van de </w:t>
          </w:r>
          <w:proofErr w:type="spellStart"/>
          <w:r>
            <w:rPr>
              <w:sz w:val="20"/>
            </w:rPr>
            <w:t>Sompel</w:t>
          </w:r>
          <w:proofErr w:type="spellEnd"/>
          <w:r>
            <w:rPr>
              <w:sz w:val="20"/>
            </w:rPr>
            <w:t xml:space="preserve"> H, Sanderson R, Shankar H, </w:t>
          </w:r>
          <w:proofErr w:type="spellStart"/>
          <w:r>
            <w:rPr>
              <w:sz w:val="20"/>
            </w:rPr>
            <w:t>Balakireva</w:t>
          </w:r>
          <w:proofErr w:type="spellEnd"/>
          <w:r>
            <w:rPr>
              <w:sz w:val="20"/>
            </w:rPr>
            <w:t xml:space="preserve"> L, Zhou K, et al. (2014) Scholarly context not found: one in five articles suffers from reference rot. </w:t>
          </w:r>
          <w:proofErr w:type="spellStart"/>
          <w:r>
            <w:rPr>
              <w:sz w:val="20"/>
            </w:rPr>
            <w:t>PLoS</w:t>
          </w:r>
          <w:proofErr w:type="spellEnd"/>
          <w:r>
            <w:rPr>
              <w:sz w:val="20"/>
            </w:rPr>
            <w:t xml:space="preserve"> One 9: e115253. </w:t>
          </w:r>
          <w:proofErr w:type="spellStart"/>
          <w:r>
            <w:rPr>
              <w:sz w:val="20"/>
            </w:rPr>
            <w:t>doi</w:t>
          </w:r>
          <w:proofErr w:type="spellEnd"/>
          <w:r>
            <w:rPr>
              <w:sz w:val="20"/>
            </w:rPr>
            <w:t xml:space="preserve">: 10.1371/journal.pone.0115253. </w:t>
          </w:r>
          <w:proofErr w:type="spellStart"/>
          <w:r>
            <w:rPr>
              <w:sz w:val="20"/>
            </w:rPr>
            <w:t>eCollection</w:t>
          </w:r>
          <w:proofErr w:type="spellEnd"/>
          <w:r>
            <w:rPr>
              <w:sz w:val="20"/>
            </w:rPr>
            <w:t xml:space="preserve"> 2014</w:t>
          </w:r>
        </w:p>
      </w:sdtContent>
    </w:sdt>
    <w:sdt>
      <w:sdtPr>
        <w:tag w:val="ox:b2b77091-ca41-54d0-9719-0f894ea069ee"/>
        <w:id w:val="911122551"/>
      </w:sdtPr>
      <w:sdtContent>
        <w:p w14:paraId="08E1FD6A" w14:textId="77777777" w:rsidR="00B14F43" w:rsidRDefault="00000000"/>
      </w:sdtContent>
    </w:sdt>
    <w:sectPr w:rsidR="00B14F43">
      <w:headerReference w:type="default" r:id="rId100"/>
      <w:pgSz w:w="12240" w:h="15840"/>
      <w:pgMar w:top="777" w:right="1133" w:bottom="566" w:left="1133" w:header="720" w:footer="0" w:gutter="0"/>
      <w:cols w:space="720"/>
      <w:formProt w:val="0"/>
      <w:docGrid w:linePitch="24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0ED2EDF" w14:textId="77777777" w:rsidR="00625B2D" w:rsidRDefault="00625B2D">
      <w:r>
        <w:separator/>
      </w:r>
    </w:p>
  </w:endnote>
  <w:endnote w:type="continuationSeparator" w:id="0">
    <w:p w14:paraId="52E3F09B" w14:textId="77777777" w:rsidR="00625B2D" w:rsidRDefault="00625B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Lucida Grande">
    <w:panose1 w:val="020B0600040502020204"/>
    <w:charset w:val="00"/>
    <w:family w:val="roman"/>
    <w:notTrueType/>
    <w:pitch w:val="default"/>
  </w:font>
  <w:font w:name="OpenSymbol">
    <w:panose1 w:val="020B0604020202020204"/>
    <w:charset w:val="00"/>
    <w:family w:val="roman"/>
    <w:notTrueType/>
    <w:pitch w:val="default"/>
  </w:font>
  <w:font w:name="Liberation Sans">
    <w:panose1 w:val="020B0604020202020204"/>
    <w:charset w:val="00"/>
    <w:family w:val="roman"/>
    <w:notTrueType/>
    <w:pitch w:val="default"/>
  </w:font>
  <w:font w:name="AR PL UMing HK">
    <w:panose1 w:val="020B0604020202020204"/>
    <w:charset w:val="00"/>
    <w:family w:val="roman"/>
    <w:notTrueType/>
    <w:pitch w:val="default"/>
  </w:font>
  <w:font w:name="Lohit Devanagari">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Arial Narrow">
    <w:panose1 w:val="020B0606020202030204"/>
    <w:charset w:val="00"/>
    <w:family w:val="swiss"/>
    <w:pitch w:val="variable"/>
    <w:sig w:usb0="00000287" w:usb1="00000800" w:usb2="00000000" w:usb3="00000000" w:csb0="0000009F" w:csb1="00000000"/>
  </w:font>
  <w:font w:name="MingLiU">
    <w:altName w:val="細明體"/>
    <w:panose1 w:val="02020509000000000000"/>
    <w:charset w:val="88"/>
    <w:family w:val="modern"/>
    <w:pitch w:val="fixed"/>
    <w:sig w:usb0="00000001" w:usb1="08080000" w:usb2="00000010" w:usb3="00000000" w:csb0="00100000"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auto"/>
    <w:pitch w:val="variable"/>
    <w:sig w:usb0="00000001" w:usb1="08080000" w:usb2="00000010" w:usb3="00000000" w:csb0="00100000"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090B5E" w14:textId="77777777" w:rsidR="00625B2D" w:rsidRDefault="00625B2D">
      <w:r>
        <w:separator/>
      </w:r>
    </w:p>
  </w:footnote>
  <w:footnote w:type="continuationSeparator" w:id="0">
    <w:p w14:paraId="20279A31" w14:textId="77777777" w:rsidR="00625B2D" w:rsidRDefault="00625B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62BE81" w14:textId="77777777" w:rsidR="00B14F43" w:rsidRDefault="00000000">
    <w:pPr>
      <w:pStyle w:val="LO-normal"/>
      <w:jc w:val="right"/>
    </w:pPr>
    <w:r>
      <w:fldChar w:fldCharType="begin"/>
    </w:r>
    <w:r>
      <w:instrText xml:space="preserve"> PAGE </w:instrText>
    </w:r>
    <w:r>
      <w:fldChar w:fldCharType="separate"/>
    </w:r>
    <w:r>
      <w:t>5</w:t>
    </w:r>
    <w:r>
      <w:fldChar w:fldCharType="end"/>
    </w:r>
    <w:r>
      <w:t xml:space="preserve"> of </w:t>
    </w:r>
    <w:fldSimple w:instr=" NUMPAGES ">
      <w:r>
        <w:t>8</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263037"/>
    <w:multiLevelType w:val="multilevel"/>
    <w:tmpl w:val="B0EE1356"/>
    <w:name w:val="list-6"/>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1" w15:restartNumberingAfterBreak="0">
    <w:nsid w:val="1BD91390"/>
    <w:multiLevelType w:val="multilevel"/>
    <w:tmpl w:val="4B9C01AA"/>
    <w:name w:val="list-5"/>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2" w15:restartNumberingAfterBreak="0">
    <w:nsid w:val="323C61F5"/>
    <w:multiLevelType w:val="multilevel"/>
    <w:tmpl w:val="1DAA760C"/>
    <w:name w:val="list-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971401304">
    <w:abstractNumId w:val="2"/>
  </w:num>
  <w:num w:numId="2" w16cid:durableId="1016659997">
    <w:abstractNumId w:val="1"/>
  </w:num>
  <w:num w:numId="3" w16cid:durableId="10237014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F43"/>
    <w:rsid w:val="0007644A"/>
    <w:rsid w:val="00625B2D"/>
    <w:rsid w:val="009E6610"/>
    <w:rsid w:val="00B14F4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7DB8B07"/>
  <w15:docId w15:val="{CB1F6A33-90AA-E54C-9A47-AB7FA842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mbria" w:eastAsia="Times New Roman" w:hAnsi="Cambria" w:cs="Times New Roman"/>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Arial" w:eastAsia="Arial" w:hAnsi="Arial" w:cs="Arial"/>
      <w:color w:val="000000"/>
      <w:sz w:val="22"/>
      <w:szCs w:val="22"/>
    </w:rPr>
  </w:style>
  <w:style w:type="paragraph" w:styleId="Heading1">
    <w:name w:val="heading 1"/>
    <w:uiPriority w:val="10"/>
    <w:qFormat/>
    <w:pPr>
      <w:keepNext/>
      <w:keepLines/>
      <w:widowControl w:val="0"/>
      <w:suppressAutoHyphens/>
      <w:spacing w:before="200"/>
      <w:contextualSpacing/>
      <w:jc w:val="both"/>
      <w:outlineLvl w:val="0"/>
    </w:pPr>
    <w:rPr>
      <w:rFonts w:ascii="Arial" w:eastAsia="Arial" w:hAnsi="Arial" w:cs="Arial"/>
      <w:b/>
      <w:color w:val="000000"/>
      <w:sz w:val="36"/>
      <w:szCs w:val="36"/>
    </w:rPr>
  </w:style>
  <w:style w:type="paragraph" w:styleId="Heading2">
    <w:name w:val="heading 2"/>
    <w:uiPriority w:val="11"/>
    <w:qFormat/>
    <w:pPr>
      <w:keepNext/>
      <w:keepLines/>
      <w:widowControl w:val="0"/>
      <w:suppressAutoHyphens/>
      <w:spacing w:before="200"/>
      <w:contextualSpacing/>
      <w:jc w:val="both"/>
      <w:outlineLvl w:val="1"/>
    </w:pPr>
    <w:rPr>
      <w:rFonts w:ascii="Arial" w:eastAsia="Arial" w:hAnsi="Arial" w:cs="Arial"/>
      <w:b/>
      <w:color w:val="000000"/>
      <w:sz w:val="36"/>
      <w:szCs w:val="36"/>
    </w:rPr>
  </w:style>
  <w:style w:type="paragraph" w:styleId="Heading3">
    <w:name w:val="heading 3"/>
    <w:uiPriority w:val="12"/>
    <w:qFormat/>
    <w:pPr>
      <w:widowControl w:val="0"/>
      <w:suppressAutoHyphens/>
      <w:contextualSpacing/>
      <w:jc w:val="both"/>
      <w:outlineLvl w:val="2"/>
    </w:pPr>
    <w:rPr>
      <w:rFonts w:ascii="Arial" w:eastAsia="Arial" w:hAnsi="Arial" w:cs="Arial"/>
      <w:b/>
      <w:color w:val="000000"/>
      <w:sz w:val="28"/>
      <w:szCs w:val="28"/>
    </w:rPr>
  </w:style>
  <w:style w:type="paragraph" w:styleId="Heading4">
    <w:name w:val="heading 4"/>
    <w:pPr>
      <w:keepNext/>
      <w:keepLines/>
      <w:widowControl w:val="0"/>
      <w:suppressAutoHyphens/>
      <w:spacing w:before="160"/>
      <w:contextualSpacing/>
      <w:jc w:val="both"/>
      <w:outlineLvl w:val="3"/>
    </w:pPr>
    <w:rPr>
      <w:rFonts w:ascii="Trebuchet MS" w:eastAsia="Trebuchet MS" w:hAnsi="Trebuchet MS" w:cs="Trebuchet MS"/>
      <w:color w:val="666666"/>
      <w:sz w:val="22"/>
      <w:szCs w:val="22"/>
      <w:u w:val="single"/>
    </w:rPr>
  </w:style>
  <w:style w:type="paragraph" w:styleId="Heading5">
    <w:name w:val="heading 5"/>
    <w:pPr>
      <w:keepNext/>
      <w:keepLines/>
      <w:widowControl w:val="0"/>
      <w:suppressAutoHyphens/>
      <w:spacing w:before="160"/>
      <w:contextualSpacing/>
      <w:jc w:val="both"/>
      <w:outlineLvl w:val="4"/>
    </w:pPr>
    <w:rPr>
      <w:rFonts w:ascii="Trebuchet MS" w:eastAsia="Trebuchet MS" w:hAnsi="Trebuchet MS" w:cs="Trebuchet MS"/>
      <w:color w:val="666666"/>
      <w:sz w:val="22"/>
      <w:szCs w:val="22"/>
    </w:rPr>
  </w:style>
  <w:style w:type="paragraph" w:styleId="Heading6">
    <w:name w:val="heading 6"/>
    <w:pPr>
      <w:keepNext/>
      <w:keepLines/>
      <w:widowControl w:val="0"/>
      <w:suppressAutoHyphens/>
      <w:spacing w:before="160"/>
      <w:contextualSpacing/>
      <w:jc w:val="both"/>
      <w:outlineLvl w:val="5"/>
    </w:pPr>
    <w:rPr>
      <w:rFonts w:ascii="Trebuchet MS" w:eastAsia="Trebuchet MS" w:hAnsi="Trebuchet MS" w:cs="Trebuchet MS"/>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rPr>
      <w:rFonts w:ascii="Lucida Grande" w:hAnsi="Lucida Grande"/>
      <w:sz w:val="18"/>
      <w:szCs w:val="18"/>
    </w:rPr>
  </w:style>
  <w:style w:type="character" w:customStyle="1" w:styleId="ListLabel1">
    <w:name w:val="ListLabel 1"/>
    <w:rPr>
      <w:u w:val="none"/>
    </w:rPr>
  </w:style>
  <w:style w:type="character" w:customStyle="1" w:styleId="ListLabel2">
    <w:name w:val="ListLabel 2"/>
    <w:rPr>
      <w:rFonts w:eastAsia="Arial" w:cs="Arial"/>
      <w:sz w:val="20"/>
      <w:szCs w:val="20"/>
      <w:u w:val="none"/>
      <w:shd w:val="clear" w:color="auto" w:fill="FFFFFF"/>
    </w:rPr>
  </w:style>
  <w:style w:type="character" w:customStyle="1" w:styleId="InternetLink">
    <w:name w:val="Internet Link"/>
    <w:rPr>
      <w:color w:val="000080"/>
      <w:u w:val="single"/>
      <w:lang w:val="uz-Cyrl-UZ" w:bidi="uz-Cyrl-UZ"/>
    </w:rPr>
  </w:style>
  <w:style w:type="character" w:customStyle="1" w:styleId="Bullets">
    <w:name w:val="Bullets"/>
    <w:rPr>
      <w:rFonts w:ascii="OpenSymbol" w:eastAsia="OpenSymbol" w:hAnsi="OpenSymbol" w:cs="OpenSymbol"/>
    </w:rPr>
  </w:style>
  <w:style w:type="paragraph" w:customStyle="1" w:styleId="Heading">
    <w:name w:val="Heading"/>
    <w:basedOn w:val="Normal"/>
    <w:next w:val="TextBody"/>
    <w:pPr>
      <w:keepNext/>
      <w:spacing w:before="240" w:after="120"/>
    </w:pPr>
    <w:rPr>
      <w:rFonts w:ascii="Liberation Sans" w:eastAsia="AR PL UMing HK" w:hAnsi="Liberation Sans" w:cs="Lohit Devanagari"/>
      <w:sz w:val="28"/>
      <w:szCs w:val="28"/>
    </w:rPr>
  </w:style>
  <w:style w:type="paragraph" w:customStyle="1" w:styleId="TextBody">
    <w:name w:val="Text Body"/>
    <w:basedOn w:val="Normal"/>
    <w:pPr>
      <w:spacing w:after="120"/>
    </w:pPr>
  </w:style>
  <w:style w:type="paragraph" w:styleId="List">
    <w:name w:val="List"/>
    <w:basedOn w:val="TextBody"/>
    <w:rPr>
      <w:rFonts w:ascii="Times New Roman" w:hAnsi="Times New Roman" w:cs="Lohit Devanagari"/>
    </w:rPr>
  </w:style>
  <w:style w:type="paragraph" w:styleId="Caption">
    <w:name w:val="caption"/>
    <w:basedOn w:val="Normal"/>
    <w:pPr>
      <w:suppressLineNumbers/>
      <w:spacing w:before="120" w:after="120"/>
    </w:pPr>
    <w:rPr>
      <w:rFonts w:ascii="Times New Roman" w:hAnsi="Times New Roman" w:cs="Lohit Devanagari"/>
      <w:i/>
      <w:iCs/>
      <w:sz w:val="24"/>
      <w:szCs w:val="24"/>
    </w:rPr>
  </w:style>
  <w:style w:type="paragraph" w:customStyle="1" w:styleId="Index">
    <w:name w:val="Index"/>
    <w:basedOn w:val="Normal"/>
    <w:pPr>
      <w:suppressLineNumbers/>
    </w:pPr>
    <w:rPr>
      <w:rFonts w:ascii="Times New Roman" w:hAnsi="Times New Roman" w:cs="Lohit Devanagari"/>
    </w:rPr>
  </w:style>
  <w:style w:type="paragraph" w:customStyle="1" w:styleId="LO-normal">
    <w:name w:val="LO-normal"/>
    <w:pPr>
      <w:suppressAutoHyphens/>
      <w:jc w:val="both"/>
    </w:pPr>
    <w:rPr>
      <w:rFonts w:ascii="Arial" w:eastAsia="Arial" w:hAnsi="Arial" w:cs="Arial"/>
      <w:color w:val="000000"/>
      <w:sz w:val="22"/>
      <w:szCs w:val="22"/>
    </w:rPr>
  </w:style>
  <w:style w:type="paragraph" w:styleId="Title">
    <w:name w:val="Title"/>
    <w:basedOn w:val="LO-normal"/>
    <w:uiPriority w:val="10"/>
    <w:qFormat/>
    <w:pPr>
      <w:keepNext/>
      <w:keepLines/>
      <w:contextualSpacing/>
    </w:pPr>
    <w:rPr>
      <w:rFonts w:ascii="Trebuchet MS" w:eastAsia="Trebuchet MS" w:hAnsi="Trebuchet MS" w:cs="Trebuchet MS"/>
      <w:sz w:val="42"/>
      <w:szCs w:val="42"/>
    </w:rPr>
  </w:style>
  <w:style w:type="paragraph" w:styleId="Subtitle">
    <w:name w:val="Subtitle"/>
    <w:basedOn w:val="LO-normal"/>
    <w:uiPriority w:val="11"/>
    <w:qFormat/>
    <w:pPr>
      <w:keepNext/>
      <w:keepLines/>
      <w:spacing w:after="200"/>
      <w:contextualSpacing/>
    </w:pPr>
    <w:rPr>
      <w:rFonts w:ascii="Trebuchet MS" w:eastAsia="Trebuchet MS" w:hAnsi="Trebuchet MS" w:cs="Trebuchet MS"/>
      <w:i/>
      <w:color w:val="666666"/>
      <w:sz w:val="26"/>
      <w:szCs w:val="26"/>
    </w:rPr>
  </w:style>
  <w:style w:type="paragraph" w:styleId="BalloonText">
    <w:name w:val="Balloon Text"/>
    <w:basedOn w:val="Normal"/>
    <w:rPr>
      <w:rFonts w:ascii="Lucida Grande" w:hAnsi="Lucida Grande"/>
      <w:sz w:val="18"/>
      <w:szCs w:val="18"/>
    </w:rPr>
  </w:style>
  <w:style w:type="paragraph" w:styleId="Header">
    <w:name w:val="header"/>
    <w:basedOn w:val="Normal"/>
  </w:style>
  <w:style w:type="paragraph" w:styleId="FootnoteText">
    <w:name w:val="footnote text"/>
    <w:basedOn w:val="Normal"/>
    <w:link w:val="FootnoteTextChar"/>
    <w:uiPriority w:val="99"/>
    <w:rPr>
      <w:sz w:val="24"/>
      <w:szCs w:val="24"/>
    </w:rPr>
  </w:style>
  <w:style w:type="character" w:customStyle="1" w:styleId="FootnoteTextChar">
    <w:name w:val="Footnote Text Char"/>
    <w:basedOn w:val="DefaultParagraphFont"/>
    <w:link w:val="FootnoteText"/>
    <w:uiPriority w:val="99"/>
    <w:rPr>
      <w:rFonts w:ascii="Arial" w:eastAsia="Arial" w:hAnsi="Arial" w:cs="Arial"/>
      <w:color w:val="000000"/>
    </w:rPr>
  </w:style>
  <w:style w:type="character" w:styleId="FootnoteReference">
    <w:name w:val="footnote reference"/>
    <w:basedOn w:val="DefaultParagraphFont"/>
    <w:uiPriority w:val="99"/>
    <w:rPr>
      <w:vertAlign w:val="superscript"/>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Pr>
      <w:color w:val="0000FF"/>
      <w:u w:val="single"/>
    </w:rPr>
  </w:style>
  <w:style w:type="paragraph" w:styleId="NoSpacing">
    <w:name w:val="No Spacing"/>
    <w:basedOn w:val="Normal"/>
    <w:uiPriority w:val="1"/>
    <w:qFormat/>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www.force11.org/datacitation" TargetMode="External"/><Relationship Id="rId21" Type="http://schemas.openxmlformats.org/officeDocument/2006/relationships/hyperlink" Target="http://www.boldsystems.org/index.php/Taxbrowser_Taxonpage?taxid=9606" TargetMode="External"/><Relationship Id="rId42" Type="http://schemas.openxmlformats.org/officeDocument/2006/relationships/hyperlink" Target="http://www.uniprot.org/uniprot/P12345.1" TargetMode="External"/><Relationship Id="rId47" Type="http://schemas.openxmlformats.org/officeDocument/2006/relationships/hyperlink" Target="http://www.w3.org/TR/hcls-dataset/" TargetMode="External"/><Relationship Id="rId63" Type="http://schemas.openxmlformats.org/officeDocument/2006/relationships/hyperlink" Target="http://www.bbsrc.ac.uk/research/grants-search/AwardDetails/?FundingReference=BB/M013189/1" TargetMode="External"/><Relationship Id="rId68" Type="http://schemas.openxmlformats.org/officeDocument/2006/relationships/hyperlink" Target="http://www.bbsrc.ac.uk/research/grants-search/AwardDetails/?FundingReference=BB/L005069/1" TargetMode="External"/><Relationship Id="rId84" Type="http://schemas.openxmlformats.org/officeDocument/2006/relationships/hyperlink" Target="http://orcid.org/0000-0002-0851-7990" TargetMode="External"/><Relationship Id="rId89" Type="http://schemas.openxmlformats.org/officeDocument/2006/relationships/hyperlink" Target="http://www.ietf.org/rfc/rfc2119.txt" TargetMode="External"/><Relationship Id="rId16" Type="http://schemas.openxmlformats.org/officeDocument/2006/relationships/hyperlink" Target="http://www.biomedcentral.com/1471-2105/5/80" TargetMode="External"/><Relationship Id="rId11" Type="http://schemas.openxmlformats.org/officeDocument/2006/relationships/hyperlink" Target="https://dx.doi.org/10.7287/peerj.preprints.697v4" TargetMode="External"/><Relationship Id="rId32" Type="http://schemas.openxmlformats.org/officeDocument/2006/relationships/hyperlink" Target="http://handle.net/" TargetMode="External"/><Relationship Id="rId37" Type="http://schemas.openxmlformats.org/officeDocument/2006/relationships/hyperlink" Target="http://zfin.org/" TargetMode="External"/><Relationship Id="rId53" Type="http://schemas.openxmlformats.org/officeDocument/2006/relationships/hyperlink" Target="https://github.com/monarch-initiative/dipper/blob/master/dipper/curie_map.yaml" TargetMode="External"/><Relationship Id="rId58" Type="http://schemas.openxmlformats.org/officeDocument/2006/relationships/hyperlink" Target="https://www.elixir-europe.org/about/funding-model" TargetMode="External"/><Relationship Id="rId74" Type="http://schemas.openxmlformats.org/officeDocument/2006/relationships/hyperlink" Target="http://science.energy.gov/bso/contract-management/" TargetMode="External"/><Relationship Id="rId79" Type="http://schemas.openxmlformats.org/officeDocument/2006/relationships/hyperlink" Target="http://orcid.org/0000-0002-4733-3270"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hyperlink" Target="http://purl.org/spar/datacite/local-resource-identifier-scheme" TargetMode="External"/><Relationship Id="rId95" Type="http://schemas.openxmlformats.org/officeDocument/2006/relationships/hyperlink" Target="http://f1000r.es/4ja" TargetMode="External"/><Relationship Id="rId22" Type="http://schemas.openxmlformats.org/officeDocument/2006/relationships/hyperlink" Target="http://www.ars-grin.gov/cgi-bin/npgs/html/taxon.pl?9606" TargetMode="External"/><Relationship Id="rId27" Type="http://schemas.openxmlformats.org/officeDocument/2006/relationships/hyperlink" Target="http://www.cdlib.org/services/uc3/arkspec.pdf" TargetMode="External"/><Relationship Id="rId43" Type="http://schemas.openxmlformats.org/officeDocument/2006/relationships/hyperlink" Target="http://f1000r.es/4ja" TargetMode="External"/><Relationship Id="rId48" Type="http://schemas.openxmlformats.org/officeDocument/2006/relationships/hyperlink" Target="https://github.com/monarch-initiative/dipper/blob/master/README.md" TargetMode="External"/><Relationship Id="rId64" Type="http://schemas.openxmlformats.org/officeDocument/2006/relationships/hyperlink" Target="http://www.bbsrc.ac.uk/research/grants-search/AwardDetails/?FundingReference=BB/K019783/1" TargetMode="External"/><Relationship Id="rId69" Type="http://schemas.openxmlformats.org/officeDocument/2006/relationships/hyperlink" Target="http://taggs.hhs.gov/AwardDetail.cfm?s_Award_Num=U41HG007822" TargetMode="External"/><Relationship Id="rId80" Type="http://schemas.openxmlformats.org/officeDocument/2006/relationships/hyperlink" Target="http://orcid.org/0000-0002-0703-6984" TargetMode="External"/><Relationship Id="rId85" Type="http://schemas.openxmlformats.org/officeDocument/2006/relationships/hyperlink" Target="https://www.force11.org/datacitation" TargetMode="External"/><Relationship Id="rId12" Type="http://schemas.openxmlformats.org/officeDocument/2006/relationships/hyperlink" Target="http://www.ietf.org/rfc/rfc2119.txt" TargetMode="External"/><Relationship Id="rId17" Type="http://schemas.openxmlformats.org/officeDocument/2006/relationships/hyperlink" Target="http://europepmc.org/abstract/MED/9606" TargetMode="External"/><Relationship Id="rId25" Type="http://schemas.openxmlformats.org/officeDocument/2006/relationships/hyperlink" Target="http://www.w3.org/Provider/Style/URI" TargetMode="External"/><Relationship Id="rId33" Type="http://schemas.openxmlformats.org/officeDocument/2006/relationships/hyperlink" Target="https://purl.oclc.org/" TargetMode="External"/><Relationship Id="rId38" Type="http://schemas.openxmlformats.org/officeDocument/2006/relationships/image" Target="media/image1.png"/><Relationship Id="rId46" Type="http://schemas.openxmlformats.org/officeDocument/2006/relationships/hyperlink" Target="http://www.w3.org/TR/hcls-dataset/" TargetMode="External"/><Relationship Id="rId59" Type="http://schemas.openxmlformats.org/officeDocument/2006/relationships/hyperlink" Target="http://cordis.europa.eu/projects/601043" TargetMode="External"/><Relationship Id="rId67" Type="http://schemas.openxmlformats.org/officeDocument/2006/relationships/hyperlink" Target="http://www.bbsrc.ac.uk/research/grants-search/AwardDetails/?FundingReference=BBS/E/B/000C0419" TargetMode="External"/><Relationship Id="rId20" Type="http://schemas.openxmlformats.org/officeDocument/2006/relationships/hyperlink" Target="http://www.ncbi.nlm.nih.gov/Taxonomy/Browser/wwwtax.cgi?id=9606" TargetMode="External"/><Relationship Id="rId41" Type="http://schemas.openxmlformats.org/officeDocument/2006/relationships/hyperlink" Target="http://jul2015.archive.ensembl.org/Mus_musculus/Gene/Summary?g=ENSMUSG00000033577;r=9:80165031-80311729;redirect=no" TargetMode="External"/><Relationship Id="rId54" Type="http://schemas.openxmlformats.org/officeDocument/2006/relationships/hyperlink" Target="http://www.researchobject.org/" TargetMode="External"/><Relationship Id="rId62" Type="http://schemas.openxmlformats.org/officeDocument/2006/relationships/hyperlink" Target="http://www.bbsrc.ac.uk/research/grants-search/AwardDetails/?FundingReference=BB/L005050/1" TargetMode="External"/><Relationship Id="rId70" Type="http://schemas.openxmlformats.org/officeDocument/2006/relationships/hyperlink" Target="http://taggs.hhs.gov/AwardDetail.cfm?s_Award_Num=U24AI117966" TargetMode="External"/><Relationship Id="rId75" Type="http://schemas.openxmlformats.org/officeDocument/2006/relationships/hyperlink" Target="http://orcid.org/0000-0002-7033-5362" TargetMode="External"/><Relationship Id="rId83" Type="http://schemas.openxmlformats.org/officeDocument/2006/relationships/hyperlink" Target="http://orcid.org/0000-0001-5208-3432" TargetMode="External"/><Relationship Id="rId88" Type="http://schemas.openxmlformats.org/officeDocument/2006/relationships/hyperlink" Target="https://dx.doi.org/10.7287/peerj.preprints.697v4" TargetMode="External"/><Relationship Id="rId91" Type="http://schemas.openxmlformats.org/officeDocument/2006/relationships/hyperlink" Target="http://ceur-ws.org/Vol-952/paper_4.pdf." TargetMode="External"/><Relationship Id="rId96" Type="http://schemas.openxmlformats.org/officeDocument/2006/relationships/hyperlink" Target="https://htmlpreview.github.io/?https://github.com/indiedotkim/HCLSDatasetDescriptions/blob/master/Overview.html"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w3.org/2004/02/skos/core" TargetMode="External"/><Relationship Id="rId23" Type="http://schemas.openxmlformats.org/officeDocument/2006/relationships/hyperlink" Target="https://en.wikipedia.org/wiki/Domain_Name_System" TargetMode="External"/><Relationship Id="rId28" Type="http://schemas.openxmlformats.org/officeDocument/2006/relationships/hyperlink" Target="https://www.force11.org/datacitation" TargetMode="External"/><Relationship Id="rId36" Type="http://schemas.openxmlformats.org/officeDocument/2006/relationships/hyperlink" Target="http://www.kegg.jp/dbget-bin/www_bget?ko" TargetMode="External"/><Relationship Id="rId49" Type="http://schemas.openxmlformats.org/officeDocument/2006/relationships/hyperlink" Target="http://www.ncbi.nlm.nih.gov/books/NBK280240/?report=classic" TargetMode="External"/><Relationship Id="rId57" Type="http://schemas.openxmlformats.org/officeDocument/2006/relationships/hyperlink" Target="https://www.ebi.ac.uk/about/funding" TargetMode="External"/><Relationship Id="rId10" Type="http://schemas.openxmlformats.org/officeDocument/2006/relationships/hyperlink" Target="https://www.force11.org/group/fairgroup/fairprinciples" TargetMode="External"/><Relationship Id="rId31" Type="http://schemas.openxmlformats.org/officeDocument/2006/relationships/hyperlink" Target="http://identifiers.org/" TargetMode="External"/><Relationship Id="rId44" Type="http://schemas.openxmlformats.org/officeDocument/2006/relationships/hyperlink" Target="http://www.uniprot.org/uniprot/P12345.3" TargetMode="External"/><Relationship Id="rId52" Type="http://schemas.openxmlformats.org/officeDocument/2006/relationships/hyperlink" Target="http://beta.monarchinitiative.org/disease/DOID:403.json" TargetMode="External"/><Relationship Id="rId60" Type="http://schemas.openxmlformats.org/officeDocument/2006/relationships/hyperlink" Target="http://cordis.europa.eu/project/rcn/104477_en.html" TargetMode="External"/><Relationship Id="rId65" Type="http://schemas.openxmlformats.org/officeDocument/2006/relationships/hyperlink" Target="http://www.bbsrc.ac.uk/research/grants-search/AwardDetails/?FundingReference=BB/M006891/1" TargetMode="External"/><Relationship Id="rId73" Type="http://schemas.openxmlformats.org/officeDocument/2006/relationships/hyperlink" Target="http://taggs.hhs.gov/AwardDetail.cfm?s_Award_Num=P41HG002273" TargetMode="External"/><Relationship Id="rId78" Type="http://schemas.openxmlformats.org/officeDocument/2006/relationships/hyperlink" Target="http://orcid.org/0000-0001-9950-520" TargetMode="External"/><Relationship Id="rId81" Type="http://schemas.openxmlformats.org/officeDocument/2006/relationships/hyperlink" Target="http://orcid.org/0000-0002-2548-641X" TargetMode="External"/><Relationship Id="rId86" Type="http://schemas.openxmlformats.org/officeDocument/2006/relationships/hyperlink" Target="http://www.iassistdata.org/downloads/iqvol371_4_altman.pdf" TargetMode="External"/><Relationship Id="rId94" Type="http://schemas.openxmlformats.org/officeDocument/2006/relationships/hyperlink" Target="http://www.cdlib.org/services/uc3/arkspec.pdf" TargetMode="External"/><Relationship Id="rId99" Type="http://schemas.openxmlformats.org/officeDocument/2006/relationships/hyperlink" Target="http://www.ncbi.nlm.nih.gov/books/NBK280240/?report=classic" TargetMode="External"/><Relationship Id="rId10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f1000research.com/articles/4-134/v1" TargetMode="External"/><Relationship Id="rId13" Type="http://schemas.openxmlformats.org/officeDocument/2006/relationships/hyperlink" Target="http://www.obofoundry.org/ro/ro.owl" TargetMode="External"/><Relationship Id="rId18" Type="http://schemas.openxmlformats.org/officeDocument/2006/relationships/hyperlink" Target="http://birdgenenames.org/cgnc/GeneReport?id=9606" TargetMode="External"/><Relationship Id="rId39" Type="http://schemas.openxmlformats.org/officeDocument/2006/relationships/hyperlink" Target="https://www.force11.org/datacitation" TargetMode="External"/><Relationship Id="rId34" Type="http://schemas.openxmlformats.org/officeDocument/2006/relationships/hyperlink" Target="http://www.pidconsortium.eu/" TargetMode="External"/><Relationship Id="rId50" Type="http://schemas.openxmlformats.org/officeDocument/2006/relationships/hyperlink" Target="http://www.ncbi.nlm.nih.gov/pubmed/?term=25541969" TargetMode="External"/><Relationship Id="rId55" Type="http://schemas.openxmlformats.org/officeDocument/2006/relationships/hyperlink" Target="https://galaxyproject.org/" TargetMode="External"/><Relationship Id="rId76" Type="http://schemas.openxmlformats.org/officeDocument/2006/relationships/hyperlink" Target="http://orcid.org/0000-0001-8314-8497" TargetMode="External"/><Relationship Id="rId97" Type="http://schemas.openxmlformats.org/officeDocument/2006/relationships/hyperlink" Target="http://www.w3.org/TR/hcls-dataset/" TargetMode="External"/><Relationship Id="rId7" Type="http://schemas.openxmlformats.org/officeDocument/2006/relationships/hyperlink" Target="https://www.force11.org/datacitation" TargetMode="External"/><Relationship Id="rId71" Type="http://schemas.openxmlformats.org/officeDocument/2006/relationships/hyperlink" Target="http://taggs.hhs.gov/AwardDetail.cfm?s_Award_Num=U54AI117925" TargetMode="External"/><Relationship Id="rId92" Type="http://schemas.openxmlformats.org/officeDocument/2006/relationships/hyperlink" Target="http://manu.sporny.org/2011/case-for-curies/" TargetMode="External"/><Relationship Id="rId2" Type="http://schemas.openxmlformats.org/officeDocument/2006/relationships/styles" Target="styles.xml"/><Relationship Id="rId29" Type="http://schemas.openxmlformats.org/officeDocument/2006/relationships/hyperlink" Target="https://www.datacite.org/" TargetMode="External"/><Relationship Id="rId24" Type="http://schemas.openxmlformats.org/officeDocument/2006/relationships/hyperlink" Target="http://www.ebi.ac.uk/miriam/main/mdb?section=uris" TargetMode="External"/><Relationship Id="rId40" Type="http://schemas.openxmlformats.org/officeDocument/2006/relationships/hyperlink" Target="http://www.cdlib.org/services/uc3/arkspec.pdf" TargetMode="External"/><Relationship Id="rId45" Type="http://schemas.openxmlformats.org/officeDocument/2006/relationships/hyperlink" Target="https://htmlpreview.github.io/?https://github.com/indiedotkim/HCLSDatasetDescriptions/blob/master/Overview.html" TargetMode="External"/><Relationship Id="rId66" Type="http://schemas.openxmlformats.org/officeDocument/2006/relationships/hyperlink" Target="http://www.bbsrc.ac.uk/research/grants-search/AwardDetails/?FundingReference=BB/M017702/1" TargetMode="External"/><Relationship Id="rId87" Type="http://schemas.openxmlformats.org/officeDocument/2006/relationships/hyperlink" Target="https://www.force11.org/group/fairgroup/fairprinciples" TargetMode="External"/><Relationship Id="rId61" Type="http://schemas.openxmlformats.org/officeDocument/2006/relationships/hyperlink" Target="http://www.imi.europa.eu/content/ddmore" TargetMode="External"/><Relationship Id="rId82" Type="http://schemas.openxmlformats.org/officeDocument/2006/relationships/hyperlink" Target="http://orcid.org/0000-0001-7588-5673" TargetMode="External"/><Relationship Id="rId19" Type="http://schemas.openxmlformats.org/officeDocument/2006/relationships/hyperlink" Target="https://pubchem.ncbi.nlm.nih.gov/compound/3-Fluorotoluene" TargetMode="External"/><Relationship Id="rId14" Type="http://schemas.openxmlformats.org/officeDocument/2006/relationships/hyperlink" Target="http://www.w3.org/wiki/WebSchemas/sameAs" TargetMode="External"/><Relationship Id="rId30" Type="http://schemas.openxmlformats.org/officeDocument/2006/relationships/hyperlink" Target="http://www.crossref.org/" TargetMode="External"/><Relationship Id="rId35" Type="http://schemas.openxmlformats.org/officeDocument/2006/relationships/hyperlink" Target="https://wiki.ucop.edu/display/Curation/ARK" TargetMode="External"/><Relationship Id="rId56" Type="http://schemas.openxmlformats.org/officeDocument/2006/relationships/hyperlink" Target="http://cordis.europa.eu/project/rcn/101852_en.html" TargetMode="External"/><Relationship Id="rId77" Type="http://schemas.openxmlformats.org/officeDocument/2006/relationships/hyperlink" Target="http://orcid.org/0000-0002-7445-2419" TargetMode="External"/><Relationship Id="rId100" Type="http://schemas.openxmlformats.org/officeDocument/2006/relationships/header" Target="header1.xml"/><Relationship Id="rId8" Type="http://schemas.openxmlformats.org/officeDocument/2006/relationships/hyperlink" Target="http://iassistdata.org/sites/default/files/iq/iqvol371_4_altman.pdf" TargetMode="External"/><Relationship Id="rId51" Type="http://schemas.openxmlformats.org/officeDocument/2006/relationships/hyperlink" Target="http://monarchinitiative.org/disease/OMIM:253250" TargetMode="External"/><Relationship Id="rId72" Type="http://schemas.openxmlformats.org/officeDocument/2006/relationships/hyperlink" Target="http://taggs.hhs.gov/AwardDetail.cfm?s_Award_Num=R24OD011883" TargetMode="External"/><Relationship Id="rId93" Type="http://schemas.openxmlformats.org/officeDocument/2006/relationships/hyperlink" Target="http://www.w3.org/TR/curie/" TargetMode="External"/><Relationship Id="rId98" Type="http://schemas.openxmlformats.org/officeDocument/2006/relationships/hyperlink" Target="https://github.com/monarch-initiative/dipper/blob/master/README.md" TargetMode="External"/><Relationship Id="rId3" Type="http://schemas.openxmlformats.org/officeDocument/2006/relationships/settings" Target="settings.xml"/></Relationships>
</file>

<file path=word/theme/theme1.xml><?xml version="1.0" encoding="utf-8"?>
<a:theme xmlns:a="http://schemas.openxmlformats.org/drawingml/2006/main" name="Craft">
  <a:themeElements>
    <a:clrScheme name="Craft">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raft">
      <a:majorFont>
        <a:latin typeface="Aptos Display"/>
        <a:ea typeface=""/>
        <a:cs typeface=""/>
      </a:majorFont>
      <a:minorFont>
        <a:latin typeface="Aptos"/>
        <a:ea typeface=""/>
        <a:cs typeface=""/>
      </a:minorFont>
    </a:fontScheme>
    <a:fmtScheme name="Craft">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5480</Words>
  <Characters>31240</Characters>
  <Application>Microsoft Office Word</Application>
  <DocSecurity>0</DocSecurity>
  <Lines>260</Lines>
  <Paragraphs>73</Paragraphs>
  <ScaleCrop>false</ScaleCrop>
  <Company/>
  <LinksUpToDate>false</LinksUpToDate>
  <CharactersWithSpaces>36647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dc:title>
  <cp:lastModifiedBy>Milleleaf</cp:lastModifiedBy>
  <cp:revision>2</cp:revision>
  <dcterms:created xsi:type="dcterms:W3CDTF">2026-10-22T02:48:00Z</dcterms:created>
  <dcterms:modified xsi:type="dcterms:W3CDTF">2026-10-22T02:48:00Z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x.document">
    <vt:lpwstr>239ca6b3-1319-5dda-b48e-45b32b0abb90</vt:lpwstr>
  </property>
  <property fmtid="{D5CDD505-2E9C-101B-9397-08002B2CF9AE}" pid="3" name="ox.revision">
    <vt:lpwstr>027b9d55f924bd9a6527d452</vt:lpwstr>
  </property>
  <property fmtid="{D5CDD505-2E9C-101B-9397-08002B2CF9AE}" pid="4" name="ox.layers">
    <vt:lpwstr>milleleaf/schema/office adopt/paper roundtrip/paper</vt:lpwstr>
  </property>
</Properties>
</file>