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sdt>
        <w:sdtPr>
          <w:tag w:val="mleaf:3f1c2a90-0000-4c1e-9a00-000000000021"/>
          <w:text/>
        </w:sdtPr>
        <w:sdtContent>
          <w:r>
            <w:rPr/>
          </w:r>
          <w:r>
            <w:rPr/>
            <w:t>Q3 results</w:t>
          </w:r>
        </w:sdtContent>
      </w:sdt>
    </w:p>
    <w:p>
      <w:pPr>
        <w:pStyle w:val="Normal"/>
        <w:rPr/>
      </w:pPr>
      <w:sdt>
        <w:sdtPr>
          <w:tag w:val="mleaf:3f1c2a90-0000-4c1e-9a00-000000000023"/>
          <w:text/>
        </w:sdtPr>
        <w:sdtContent>
          <w:r>
            <w:rPr/>
          </w:r>
          <w:r>
            <w:rPr/>
            <w:t xml:space="preserve">Total revenue for the quarter was </w:t>
          </w:r>
        </w:sdtContent>
      </w:sdt>
      <w:sdt>
        <w:sdtPr>
          <w:alias w:val="Linked: 3f1c2a90-0000-4c1e-9a00-000000000013"/>
          <w:tag w:val="mleaf:3f1c2a90-0000-4c1e-9a00-000000000024"/>
          <w:lock w:val="contentLocked"/>
          <w:text/>
        </w:sdtPr>
        <w:sdtContent>
          <w:r>
            <w:rPr/>
          </w:r>
          <w:r>
            <w:rPr/>
            <w:t>$1,250,500</w:t>
          </w:r>
        </w:sdtContent>
      </w:sdt>
      <w:r>
        <w:rPr/>
        <w:t xml:space="preserve"> across </w:t>
      </w:r>
      <w:sdt>
        <w:sdtPr>
          <w:alias w:val="Linked: 3f1c2a90-0000-4c1e-9a00-000000000031"/>
          <w:tag w:val="mleaf:3f1c2a90-0000-4c1e-9a00-000000000025"/>
          <w:lock w:val="contentLocked"/>
          <w:text/>
        </w:sdtPr>
        <w:sdtContent>
          <w:r>
            <w:rPr/>
          </w:r>
          <w:r>
            <w:rPr/>
            <w:t>3</w:t>
          </w:r>
        </w:sdtContent>
      </w:sdt>
      <w:r>
        <w:rPr/>
        <w:t xml:space="preserve"> regions.</w:t>
      </w:r>
    </w:p>
    <w:tbl>
      <w:tblPr>
        <w:tblStyle w:val="GridTable4AccentBlue"/>
        <w:tblW w:w="90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13"/>
        <w:gridCol w:w="4512"/>
      </w:tblGrid>
      <w:tr>
        <w:trPr>
          <w:tblHeader w:val="true"/>
        </w:trPr>
        <w:tc>
          <w:tcPr>
            <w:tcW w:w="4513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sdt>
              <w:sdtPr>
                <w:alias w:val="Linked: 3f1c2a90-0000-4c1e-9a00-000000000012"/>
                <w:tag w:val="mleaf:3f1c2a90-0000-4c1e-9a00-000000000022"/>
                <w:lock w:val="contentLocked"/>
                <w:text/>
              </w:sdtPr>
              <w:sdtContent>
                <w:r>
                  <w:rPr>
                    <w:b/>
                    <w:color w:val="FFFFFF"/>
                    <w:kern w:val="2"/>
                    <w:sz w:val="24"/>
                    <w:szCs w:val="20"/>
                    <w:lang w:val="en-US"/>
                  </w:rPr>
                </w:r>
                <w:r>
                  <w:rPr>
                    <w:b/>
                    <w:color w:val="FFFFFF"/>
                    <w:kern w:val="2"/>
                    <w:sz w:val="24"/>
                    <w:szCs w:val="20"/>
                    <w:lang w:val="en-US"/>
                  </w:rPr>
                  <w:t>Region</w:t>
                </w:r>
              </w:sdtContent>
            </w:sdt>
          </w:p>
        </w:tc>
        <w:tc>
          <w:tcPr>
            <w:tcW w:w="4512" w:type="dxa"/>
            <w:tcBorders/>
            <w:shd w:color="auto" w:fill="156082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b/>
              </w:rPr>
            </w:pPr>
            <w:r>
              <w:rPr>
                <w:b/>
                <w:color w:val="FFFFFF"/>
                <w:kern w:val="2"/>
                <w:sz w:val="24"/>
                <w:szCs w:val="20"/>
                <w:lang w:val="en-US"/>
              </w:rPr>
              <w:t>Revenue</w:t>
            </w:r>
          </w:p>
        </w:tc>
      </w:tr>
      <w:tr>
        <w:trPr/>
        <w:tc>
          <w:tcPr>
            <w:tcW w:w="4513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/>
                <w:b/>
                <w:kern w:val="2"/>
                <w:sz w:val="24"/>
                <w:szCs w:val="20"/>
                <w:lang w:val="en-US"/>
              </w:rPr>
            </w:pPr>
            <w:r>
              <w:rPr>
                <w:b/>
                <w:kern w:val="2"/>
                <w:sz w:val="24"/>
                <w:szCs w:val="20"/>
                <w:lang w:val="en-US"/>
              </w:rPr>
              <w:t>Adelaide</w:t>
            </w:r>
          </w:p>
        </w:tc>
        <w:tc>
          <w:tcPr>
            <w:tcW w:w="4512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/>
                <w:kern w:val="2"/>
                <w:sz w:val="24"/>
                <w:szCs w:val="20"/>
                <w:lang w:val="en-US"/>
              </w:rPr>
            </w:pPr>
            <w:r>
              <w:rPr>
                <w:kern w:val="2"/>
                <w:sz w:val="24"/>
                <w:szCs w:val="20"/>
                <w:lang w:val="en-US"/>
              </w:rPr>
              <w:t>$412,000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/>
                <w:b/>
                <w:kern w:val="2"/>
                <w:sz w:val="24"/>
                <w:szCs w:val="20"/>
                <w:lang w:val="en-US"/>
              </w:rPr>
            </w:pPr>
            <w:r>
              <w:rPr>
                <w:b/>
                <w:kern w:val="2"/>
                <w:sz w:val="24"/>
                <w:szCs w:val="20"/>
                <w:lang w:val="en-US"/>
              </w:rPr>
              <w:t>Hong Kong</w:t>
            </w:r>
          </w:p>
        </w:tc>
        <w:tc>
          <w:tcPr>
            <w:tcW w:w="4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/>
                <w:kern w:val="2"/>
                <w:sz w:val="24"/>
                <w:szCs w:val="20"/>
                <w:lang w:val="en-US"/>
              </w:rPr>
            </w:pPr>
            <w:r>
              <w:rPr>
                <w:kern w:val="2"/>
                <w:sz w:val="24"/>
                <w:szCs w:val="20"/>
                <w:lang w:val="en-US"/>
              </w:rPr>
              <w:t>$541,500</w:t>
            </w:r>
          </w:p>
        </w:tc>
      </w:tr>
      <w:tr>
        <w:trPr/>
        <w:tc>
          <w:tcPr>
            <w:tcW w:w="4513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/>
                <w:b/>
                <w:kern w:val="2"/>
                <w:sz w:val="24"/>
                <w:szCs w:val="20"/>
                <w:lang w:val="en-US"/>
              </w:rPr>
            </w:pPr>
            <w:r>
              <w:rPr>
                <w:b/>
                <w:kern w:val="2"/>
                <w:sz w:val="24"/>
                <w:szCs w:val="20"/>
                <w:lang w:val="en-US"/>
              </w:rPr>
              <w:t>Singapore</w:t>
            </w:r>
          </w:p>
        </w:tc>
        <w:tc>
          <w:tcPr>
            <w:tcW w:w="4512" w:type="dxa"/>
            <w:tcBorders/>
            <w:shd w:color="auto" w:fill="C1E4F5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Aptos" w:hAnsi="Aptos"/>
                <w:kern w:val="2"/>
                <w:sz w:val="24"/>
                <w:szCs w:val="20"/>
                <w:lang w:val="en-US"/>
              </w:rPr>
            </w:pPr>
            <w:r>
              <w:rPr>
                <w:kern w:val="2"/>
                <w:sz w:val="24"/>
                <w:szCs w:val="20"/>
                <w:lang w:val="en-US"/>
              </w:rPr>
              <w:t>$297,000</w:t>
            </w:r>
          </w:p>
        </w:tc>
      </w:tr>
    </w:tbl>
    <w:p>
      <w:pPr>
        <w:pStyle w:val="Caption"/>
        <w:spacing w:before="0" w:after="200"/>
        <w:rPr/>
      </w:pPr>
      <w:sdt>
        <w:sdtPr>
          <w:tag w:val="mleaf:3f1c2a90-0000-4c1e-9a00-000000000022#caption"/>
          <w:text/>
        </w:sdtPr>
        <w:sdtContent>
          <w:r>
            <w:rPr/>
          </w:r>
          <w:r>
            <w:rPr/>
            <w:t>Revenue by region (AUD)</w:t>
          </w:r>
        </w:sdtContent>
      </w:sdt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oto Serif CJK SC" w:cs="FreeSans"/>
        <w:kern w:val="2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bidi w:val="0"/>
      <w:spacing w:lineRule="auto" w:line="276" w:before="0" w:after="160"/>
      <w:jc w:val="left"/>
    </w:pPr>
    <w:rPr>
      <w:rFonts w:ascii="Aptos" w:hAnsi="Aptos" w:eastAsia="Noto Serif CJK SC" w:cs="FreeSans"/>
      <w:color w:val="auto"/>
      <w:kern w:val="2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uiPriority w:val="10"/>
    <w:qFormat/>
    <w:pPr>
      <w:keepNext w:val="true"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11"/>
    <w:qFormat/>
    <w:pPr>
      <w:keepNext w:val="true"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12"/>
    <w:qFormat/>
    <w:pPr>
      <w:keepNext w:val="true"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uiPriority w:val="13"/>
    <w:qFormat/>
    <w:pPr>
      <w:keepNext w:val="true"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uiPriority w:val="14"/>
    <w:qFormat/>
    <w:pPr>
      <w:keepNext w:val="true"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uiPriority w:val="15"/>
    <w:qFormat/>
    <w:pPr>
      <w:keepNext w:val="true"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uiPriority w:val="16"/>
    <w:qFormat/>
    <w:pPr>
      <w:keepNext w:val="true"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uiPriority w:val="17"/>
    <w:qFormat/>
    <w:pPr>
      <w:keepNext w:val="true"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uiPriority w:val="18"/>
    <w:qFormat/>
    <w:pPr>
      <w:keepNext w:val="true"/>
      <w:keepLines/>
      <w:spacing w:before="0" w:after="0"/>
      <w:outlineLvl w:val="8"/>
    </w:pPr>
    <w:rPr>
      <w:rFonts w:ascii="Aptos" w:hAnsi="Aptos"/>
      <w:color w:val="272727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Characters">
    <w:name w:val="Footnote Characters"/>
    <w:basedOn w:val="DefaultParagraphFont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basedOn w:val="DefaultParagraphFont"/>
    <w:uiPriority w:val="99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qFormat/>
    <w:pPr>
      <w:spacing w:lineRule="auto" w:line="240" w:before="0" w:after="200"/>
    </w:pPr>
    <w:rPr>
      <w:i/>
      <w:color w:val="0E2841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  <w:contextualSpacing/>
    </w:pPr>
    <w:rPr>
      <w:rFonts w:ascii="Aptos Display" w:hAnsi="Aptos Display"/>
      <w:spacing w:val="-10"/>
      <w:kern w:val="2"/>
      <w:sz w:val="56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pacing w:val="15"/>
      <w:sz w:val="28"/>
    </w:rPr>
  </w:style>
  <w:style w:type="paragraph" w:styleId="Quote">
    <w:name w:val="Quote"/>
    <w:basedOn w:val="Normal"/>
    <w:next w:val="Normal"/>
    <w:uiPriority w:val="29"/>
    <w:qFormat/>
    <w:pPr>
      <w:spacing w:before="160" w:after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uiPriority w:val="99"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pPr>
      <w:spacing w:before="240" w:after="80"/>
      <w:outlineLvl w:val="9"/>
    </w:pPr>
    <w:rPr/>
  </w:style>
  <w:style w:type="paragraph" w:styleId="TOC1">
    <w:name w:val="TOC 1"/>
    <w:basedOn w:val="Normal"/>
    <w:next w:val="Normal"/>
    <w:uiPriority w:val="39"/>
    <w:pPr>
      <w:spacing w:before="0" w:after="100"/>
      <w:ind w:left="0"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left="240"/>
    </w:pPr>
    <w:rPr/>
  </w:style>
  <w:style w:type="paragraph" w:styleId="TOC3">
    <w:name w:val="TOC 3"/>
    <w:basedOn w:val="Normal"/>
    <w:next w:val="Normal"/>
    <w:uiPriority w:val="39"/>
    <w:pPr>
      <w:spacing w:before="0" w:after="100"/>
      <w:ind w:left="480"/>
    </w:pPr>
    <w:rPr/>
  </w:style>
  <w:style w:type="paragraph" w:styleId="TOC4">
    <w:name w:val="TOC 4"/>
    <w:basedOn w:val="Normal"/>
    <w:next w:val="Normal"/>
    <w:uiPriority w:val="39"/>
    <w:pPr>
      <w:spacing w:before="0" w:after="100"/>
      <w:ind w:left="720"/>
    </w:pPr>
    <w:rPr/>
  </w:style>
  <w:style w:type="paragraph" w:styleId="TOC5">
    <w:name w:val="TOC 5"/>
    <w:basedOn w:val="Normal"/>
    <w:next w:val="Normal"/>
    <w:uiPriority w:val="39"/>
    <w:pPr>
      <w:spacing w:before="0" w:after="100"/>
      <w:ind w:left="960"/>
    </w:pPr>
    <w:rPr/>
  </w:style>
  <w:style w:type="paragraph" w:styleId="TOC6">
    <w:name w:val="TOC 6"/>
    <w:basedOn w:val="Normal"/>
    <w:next w:val="Normal"/>
    <w:uiPriority w:val="39"/>
    <w:pPr>
      <w:spacing w:before="0" w:after="100"/>
      <w:ind w:left="1200"/>
    </w:pPr>
    <w:rPr/>
  </w:style>
  <w:style w:type="paragraph" w:styleId="TOC7">
    <w:name w:val="TOC 7"/>
    <w:basedOn w:val="Normal"/>
    <w:next w:val="Normal"/>
    <w:uiPriority w:val="39"/>
    <w:pPr>
      <w:spacing w:before="0" w:after="100"/>
      <w:ind w:left="1440"/>
    </w:pPr>
    <w:rPr/>
  </w:style>
  <w:style w:type="paragraph" w:styleId="TOC8">
    <w:name w:val="TOC 8"/>
    <w:basedOn w:val="Normal"/>
    <w:next w:val="Normal"/>
    <w:uiPriority w:val="39"/>
    <w:pPr>
      <w:spacing w:before="0" w:after="100"/>
      <w:ind w:left="1680"/>
    </w:pPr>
    <w:rPr/>
  </w:style>
  <w:style w:type="paragraph" w:styleId="TOC9">
    <w:name w:val="TOC 9"/>
    <w:basedOn w:val="Normal"/>
    <w:next w:val="Normal"/>
    <w:uiPriority w:val="39"/>
    <w:pPr>
      <w:spacing w:before="0" w:after="100"/>
      <w:ind w:left="1920"/>
    </w:pPr>
    <w:rPr/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default="1" w:styleId="TableNormal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band1Horz">
      <w:tblPr/>
      <w:tcPr>
        <w:shd w:val="clear" w:color="auto" w:fill="F2F2F2"/>
      </w:tcPr>
    </w:tblStylePr>
    <w:tblStylePr w:type="firstCol">
      <w:rPr>
        <w:b/>
      </w:rPr>
      <w:tblPr/>
    </w:tblStylePr>
    <w:tblStylePr w:type="firstRow">
      <w:rPr>
        <w:b/>
      </w:rPr>
      <w:tblPr/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Col">
      <w:rPr>
        <w:b/>
      </w:rPr>
      <w:tblPr/>
    </w:tblStylePr>
    <w:tblStylePr w:type="firstRow">
      <w:rPr>
        <w:b/>
      </w:rPr>
      <w:tblPr/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color="C1E4F5" w:sz="4" w:space="0"/>
        <w:left w:val="single" w:color="C1E4F5" w:sz="4" w:space="0"/>
        <w:bottom w:val="single" w:color="C1E4F5" w:sz="4" w:space="0"/>
        <w:right w:val="single" w:color="C1E4F5" w:sz="4" w:space="0"/>
        <w:insideH w:val="single" w:color="C1E4F5" w:sz="4" w:space="0"/>
        <w:insideV w:val="single" w:color="C1E4F5" w:sz="4" w:space="0"/>
      </w:tblBorders>
    </w:tblPr>
    <w:tblStylePr w:type="band1Horz">
      <w:tblPr/>
      <w:tcPr>
        <w:shd w:val="clear" w:color="auto" w:fill="C1E4F5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color="156082" w:sz="4" w:space="0"/>
        <w:left w:val="single" w:color="156082" w:sz="4" w:space="0"/>
        <w:bottom w:val="single" w:color="156082" w:sz="4" w:space="0"/>
        <w:right w:val="single" w:color="156082" w:sz="4" w:space="0"/>
      </w:tblBorders>
    </w:tblPr>
    <w:tblStylePr w:type="firstRow">
      <w:rPr>
        <w:b/>
      </w:rPr>
      <w:tblPr/>
      <w:tcPr>
        <w:shd w:val="clear" w:color="auto" w:fill="156082"/>
      </w:tcPr>
    </w:tblStylePr>
    <w:tblStylePr w:type="lastRow">
      <w:tblPr/>
      <w:tcPr>
        <w:tcBorders>
          <w:top w:val="single" w:color="156082" w:sz="4" w:space="0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color="FBE2D5" w:sz="4" w:space="0"/>
        <w:left w:val="single" w:color="FBE2D5" w:sz="4" w:space="0"/>
        <w:bottom w:val="single" w:color="FBE2D5" w:sz="4" w:space="0"/>
        <w:right w:val="single" w:color="FBE2D5" w:sz="4" w:space="0"/>
        <w:insideH w:val="single" w:color="FBE2D5" w:sz="4" w:space="0"/>
        <w:insideV w:val="single" w:color="FBE2D5" w:sz="4" w:space="0"/>
      </w:tblBorders>
    </w:tblPr>
    <w:tblStylePr w:type="band1Horz">
      <w:tblPr/>
      <w:tcPr>
        <w:shd w:val="clear" w:color="auto" w:fill="FBE2D5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color="E97132" w:sz="4" w:space="0"/>
        <w:left w:val="single" w:color="E97132" w:sz="4" w:space="0"/>
        <w:bottom w:val="single" w:color="E97132" w:sz="4" w:space="0"/>
        <w:right w:val="single" w:color="E97132" w:sz="4" w:space="0"/>
      </w:tblBorders>
    </w:tblPr>
    <w:tblStylePr w:type="firstRow">
      <w:rPr>
        <w:b/>
      </w:rPr>
      <w:tblPr/>
      <w:tcPr>
        <w:shd w:val="clear" w:color="auto" w:fill="E97132"/>
      </w:tcPr>
    </w:tblStylePr>
    <w:tblStylePr w:type="lastRow">
      <w:tblPr/>
      <w:tcPr>
        <w:tcBorders>
          <w:top w:val="single" w:color="E97132" w:sz="4" w:space="0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color="C1F0C8" w:sz="4" w:space="0"/>
        <w:left w:val="single" w:color="C1F0C8" w:sz="4" w:space="0"/>
        <w:bottom w:val="single" w:color="C1F0C8" w:sz="4" w:space="0"/>
        <w:right w:val="single" w:color="C1F0C8" w:sz="4" w:space="0"/>
        <w:insideH w:val="single" w:color="C1F0C8" w:sz="4" w:space="0"/>
        <w:insideV w:val="single" w:color="C1F0C8" w:sz="4" w:space="0"/>
      </w:tblBorders>
    </w:tblPr>
    <w:tblStylePr w:type="band1Horz">
      <w:tblPr/>
      <w:tcPr>
        <w:shd w:val="clear" w:color="auto" w:fill="C1F0C8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color="196B24" w:sz="4" w:space="0"/>
        <w:left w:val="single" w:color="196B24" w:sz="4" w:space="0"/>
        <w:bottom w:val="single" w:color="196B24" w:sz="4" w:space="0"/>
        <w:right w:val="single" w:color="196B24" w:sz="4" w:space="0"/>
      </w:tblBorders>
    </w:tblPr>
    <w:tblStylePr w:type="firstRow">
      <w:rPr>
        <w:b/>
      </w:rPr>
      <w:tblPr/>
      <w:tcPr>
        <w:shd w:val="clear" w:color="auto" w:fill="196B24"/>
      </w:tcPr>
    </w:tblStylePr>
    <w:tblStylePr w:type="lastRow">
      <w:tblPr/>
      <w:tcPr>
        <w:tcBorders>
          <w:top w:val="single" w:color="196B24" w:sz="4" w:space="0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color="E5D2EE" w:sz="4" w:space="0"/>
        <w:left w:val="single" w:color="E5D2EE" w:sz="4" w:space="0"/>
        <w:bottom w:val="single" w:color="E5D2EE" w:sz="4" w:space="0"/>
        <w:right w:val="single" w:color="E5D2EE" w:sz="4" w:space="0"/>
        <w:insideH w:val="single" w:color="E5D2EE" w:sz="4" w:space="0"/>
        <w:insideV w:val="single" w:color="E5D2EE" w:sz="4" w:space="0"/>
      </w:tblBorders>
    </w:tblPr>
    <w:tblStylePr w:type="band1Horz">
      <w:tblPr/>
      <w:tcPr>
        <w:shd w:val="clear" w:color="auto" w:fill="E5D2EE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color="712E8D" w:sz="4" w:space="0"/>
        <w:left w:val="single" w:color="712E8D" w:sz="4" w:space="0"/>
        <w:bottom w:val="single" w:color="712E8D" w:sz="4" w:space="0"/>
        <w:right w:val="single" w:color="712E8D" w:sz="4" w:space="0"/>
      </w:tblBorders>
    </w:tblPr>
    <w:tblStylePr w:type="firstRow">
      <w:rPr>
        <w:b/>
      </w:rPr>
      <w:tblPr/>
      <w:tcPr>
        <w:shd w:val="clear" w:color="auto" w:fill="712E8D"/>
      </w:tcPr>
    </w:tblStylePr>
    <w:tblStylePr w:type="lastRow">
      <w:tblPr/>
      <w:tcPr>
        <w:tcBorders>
          <w:top w:val="single" w:color="712E8D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Words>25</Word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Q3 Board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3f1c2a90-0000-4c1e-9a00-000000000020</vt:lpwstr>
  </property>
  <property fmtid="{D5CDD505-2E9C-101B-9397-08002B2CF9AE}" pid="3" name="mleaf.layers">
    <vt:lpwstr>milleleaf/schema/office milleleaf/examples/hello-table/base proposal/deck milleleaf/examples/hello-table/finance-review milleleaf/examples/hello-table/project</vt:lpwstr>
  </property>
  <property fmtid="{D5CDD505-2E9C-101B-9397-08002B2CF9AE}" pid="4" name="mleaf.revision">
    <vt:lpwstr>0d6b27bd4f879cc1c5fedca9</vt:lpwstr>
  </property>
</Properties>
</file>