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Kicker"/>
      </w:pPr>
      <w:r>
        <w:t>RAG OPTIMIZATION  /  A VISUAL FIELD GUIDE</w:t>
      </w:r>
    </w:p>
    <w:p>
      <w:pPr>
        <w:pStyle w:val="BigPageTitle"/>
      </w:pPr>
      <w:r>
        <w:t>Better answers begin before the LLM</w:t>
      </w:r>
    </w:p>
    <w:p>
      <w:pPr>
        <w:pStyle w:val="Lead"/>
      </w:pPr>
      <w:r>
        <w:t>RAG optimization is about keeping useful evidence intact, finding it reliably, and helping the model use it well.</w:t>
      </w:r>
    </w:p>
    <w:p>
      <w:pPr>
        <w:pStyle w:val="BodyNarrative"/>
      </w:pPr>
      <w:r>
        <w:t>A retrieval-augmented system does not answer from its model weights alone. It brings selected passages from a document collection into the prompt. Every step between the source document and the final response is a place where meaning can be lost.</w:t>
      </w:r>
    </w:p>
    <w:tbl>
      <w:tblPr>
        <w:tblW w:type="auto" w:w="0"/>
        <w:tblLayout w:type="fixed"/>
        <w:tblLook w:firstColumn="1" w:firstRow="1" w:lastColumn="0" w:lastRow="0" w:noHBand="0" w:noVBand="1" w:val="04A0"/>
      </w:tblPr>
      <w:tblGrid>
        <w:gridCol w:w="1231"/>
        <w:gridCol w:w="1231"/>
        <w:gridCol w:w="1231"/>
        <w:gridCol w:w="1231"/>
        <w:gridCol w:w="1231"/>
        <w:gridCol w:w="1231"/>
        <w:gridCol w:w="1231"/>
        <w:gridCol w:w="1231"/>
        <w:gridCol w:w="1231"/>
        <w:gridCol w:w="1231"/>
        <w:gridCol w:w="1231"/>
      </w:tblGrid>
      <w:tr>
        <w:trPr>
          <w:cantSplit/>
        </w:trPr>
        <w:tc>
          <w:tcPr>
            <w:tcW w:type="dxa" w:w="1979"/>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Prepare</w:t>
            </w:r>
          </w:p>
        </w:tc>
        <w:tc>
          <w:tcPr>
            <w:tcW w:type="dxa" w:w="288"/>
            <w:tcBorders>
              <w:top w:val="nil"/>
              <w:left w:val="nil"/>
              <w:bottom w:val="nil"/>
              <w:right w:val="nil"/>
              <w:insideH w:val="nil"/>
              <w:insideV w:val="nil"/>
            </w:tcBorders>
          </w:tcPr>
          <w:p>
            <w:pPr>
              <w:jc w:val="center"/>
            </w:pPr>
            <w:r/>
            <w:r>
              <w:rPr>
                <w:color w:val="137D82"/>
                <w:sz w:val="28"/>
              </w:rPr>
              <w:t>→</w:t>
            </w:r>
          </w:p>
        </w:tc>
        <w:tc>
          <w:tcPr>
            <w:tcW w:type="dxa" w:w="1979"/>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Chunk</w:t>
            </w:r>
          </w:p>
        </w:tc>
        <w:tc>
          <w:tcPr>
            <w:tcW w:type="dxa" w:w="288"/>
            <w:tcBorders>
              <w:top w:val="nil"/>
              <w:left w:val="nil"/>
              <w:bottom w:val="nil"/>
              <w:right w:val="nil"/>
              <w:insideH w:val="nil"/>
              <w:insideV w:val="nil"/>
            </w:tcBorders>
          </w:tcPr>
          <w:p>
            <w:pPr>
              <w:jc w:val="center"/>
            </w:pPr>
            <w:r/>
            <w:r>
              <w:rPr>
                <w:color w:val="137D82"/>
                <w:sz w:val="28"/>
              </w:rPr>
              <w:t>→</w:t>
            </w:r>
          </w:p>
        </w:tc>
        <w:tc>
          <w:tcPr>
            <w:tcW w:type="dxa" w:w="1979"/>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Embed &amp; index</w:t>
            </w:r>
          </w:p>
        </w:tc>
        <w:tc>
          <w:tcPr>
            <w:tcW w:type="dxa" w:w="288"/>
            <w:tcBorders>
              <w:top w:val="nil"/>
              <w:left w:val="nil"/>
              <w:bottom w:val="nil"/>
              <w:right w:val="nil"/>
              <w:insideH w:val="nil"/>
              <w:insideV w:val="nil"/>
            </w:tcBorders>
          </w:tcPr>
          <w:p>
            <w:pPr>
              <w:jc w:val="center"/>
            </w:pPr>
            <w:r/>
            <w:r>
              <w:rPr>
                <w:color w:val="137D82"/>
                <w:sz w:val="28"/>
              </w:rPr>
              <w:t>→</w:t>
            </w:r>
          </w:p>
        </w:tc>
        <w:tc>
          <w:tcPr>
            <w:tcW w:type="dxa" w:w="1979"/>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Retrieve</w:t>
            </w:r>
          </w:p>
        </w:tc>
        <w:tc>
          <w:tcPr>
            <w:tcW w:type="dxa" w:w="288"/>
            <w:tcBorders>
              <w:top w:val="nil"/>
              <w:left w:val="nil"/>
              <w:bottom w:val="nil"/>
              <w:right w:val="nil"/>
              <w:insideH w:val="nil"/>
              <w:insideV w:val="nil"/>
            </w:tcBorders>
          </w:tcPr>
          <w:p>
            <w:pPr>
              <w:jc w:val="center"/>
            </w:pPr>
            <w:r/>
            <w:r>
              <w:rPr>
                <w:color w:val="137D82"/>
                <w:sz w:val="28"/>
              </w:rPr>
              <w:t>→</w:t>
            </w:r>
          </w:p>
        </w:tc>
        <w:tc>
          <w:tcPr>
            <w:tcW w:type="dxa" w:w="1979"/>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Refine</w:t>
            </w:r>
          </w:p>
        </w:tc>
        <w:tc>
          <w:tcPr>
            <w:tcW w:type="dxa" w:w="288"/>
            <w:tcBorders>
              <w:top w:val="nil"/>
              <w:left w:val="nil"/>
              <w:bottom w:val="nil"/>
              <w:right w:val="nil"/>
              <w:insideH w:val="nil"/>
              <w:insideV w:val="nil"/>
            </w:tcBorders>
          </w:tcPr>
          <w:p>
            <w:pPr>
              <w:jc w:val="center"/>
            </w:pPr>
            <w:r/>
            <w:r>
              <w:rPr>
                <w:color w:val="137D82"/>
                <w:sz w:val="28"/>
              </w:rPr>
              <w:t>→</w:t>
            </w:r>
          </w:p>
        </w:tc>
        <w:tc>
          <w:tcPr>
            <w:tcW w:type="dxa" w:w="1979"/>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Answer</w:t>
            </w:r>
          </w:p>
        </w:tc>
      </w:tr>
    </w:tbl>
    <w:p>
      <w:pPr>
        <w:spacing w:after="0"/>
      </w:pP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THE CENTRAL QUESTION</w:t>
            </w:r>
          </w:p>
          <w:p>
            <w:pPr>
              <w:pStyle w:val="ExampleText"/>
            </w:pPr>
            <w:r>
              <w:t>If a response is wrong, did the system fail to find the evidence, choose the right evidence, or use the evidence it already had?</w:t>
            </w:r>
          </w:p>
        </w:tc>
      </w:tr>
    </w:tbl>
    <w:p>
      <w:pPr>
        <w:pStyle w:val="ClosingNote"/>
      </w:pPr>
      <w:r>
        <w:rPr>
          <w:b/>
          <w:color w:val="137D82"/>
        </w:rPr>
        <w:t xml:space="preserve">Keep in mind  </w:t>
      </w:r>
      <w:r>
        <w:t>The following techniques are alternative ways to improve different stages. More components do not automatically mean better RAG.</w:t>
      </w:r>
    </w:p>
    <w:p>
      <w:r>
        <w:br w:type="page"/>
      </w:r>
    </w:p>
    <w:p>
      <w:pPr>
        <w:pStyle w:val="SectionKicker"/>
      </w:pPr>
      <w:r>
        <w:t>01  /  UNDERSTAND THE FAILURE</w:t>
      </w:r>
    </w:p>
    <w:p>
      <w:pPr>
        <w:pStyle w:val="BigPageTitle"/>
      </w:pPr>
      <w:r>
        <w:t>Why naive RAG can sound right and still fail</w:t>
      </w:r>
    </w:p>
    <w:p>
      <w:pPr>
        <w:pStyle w:val="Lead"/>
      </w:pPr>
      <w:r>
        <w:t>A fluent answer tells us little about whether the right passage was ever retrieved.</w:t>
      </w:r>
    </w:p>
    <w:p>
      <w:pPr>
        <w:pStyle w:val="BodyNarrative"/>
      </w:pPr>
      <w:r>
        <w:t>Imagine asking: “How did the authors prevent overfitting?” The paper answers indirectly: “Dropout on attention coefficients reduced validation-loss divergence.” The meaning matches, but the wording is different. A basic similarity search may rank another passage higher simply because it repeats the word “overfitting.”</w:t>
      </w:r>
    </w:p>
    <w:tbl>
      <w:tblPr>
        <w:tblW w:type="auto" w:w="0"/>
        <w:jc w:val="center"/>
        <w:tblLayout w:type="fixed"/>
        <w:tblLook w:firstColumn="1" w:firstRow="1" w:lastColumn="0" w:lastRow="0" w:noHBand="0" w:noVBand="1" w:val="04A0"/>
      </w:tblPr>
      <w:tblGrid>
        <w:gridCol w:w="4512"/>
        <w:gridCol w:w="4512"/>
        <w:gridCol w:w="4512"/>
      </w:tblGrid>
      <w:tr>
        <w:trPr>
          <w:cantSplit/>
        </w:trPr>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Evidence was split</w:t>
            </w:r>
          </w:p>
          <w:p>
            <w:pPr>
              <w:pStyle w:val="PanelBody"/>
            </w:pPr>
            <w:r>
              <w:t>A chunk boundary separates the method from the result that explains it.</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The question differs</w:t>
            </w:r>
          </w:p>
          <w:p>
            <w:pPr>
              <w:pStyle w:val="PanelBody"/>
            </w:pPr>
            <w:r>
              <w:t>The document uses different technical terms from the user’s question.</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Top results are noisy</w:t>
            </w:r>
          </w:p>
          <w:p>
            <w:pPr>
              <w:pStyle w:val="PanelBody"/>
            </w:pPr>
            <w:r>
              <w:t>Several similar passages crowd out a complementary piece of evidence.</w:t>
            </w:r>
          </w:p>
        </w:tc>
      </w:tr>
    </w:tbl>
    <w:p>
      <w:pPr>
        <w:spacing w:after="0"/>
      </w:pPr>
    </w:p>
    <w:p>
      <w:pPr>
        <w:pStyle w:val="ClosingNote"/>
      </w:pPr>
      <w:r>
        <w:rPr>
          <w:b/>
          <w:color w:val="137D82"/>
        </w:rPr>
        <w:t xml:space="preserve">Keep in mind  </w:t>
      </w:r>
      <w:r>
        <w:t>First inspect retrieved chunks. A bigger generator will not recover facts that never reached its prompt.</w:t>
      </w:r>
    </w:p>
    <w:p>
      <w:r>
        <w:br w:type="page"/>
      </w:r>
    </w:p>
    <w:p>
      <w:pPr>
        <w:pStyle w:val="SectionKicker"/>
      </w:pPr>
      <w:r>
        <w:t>02  /  PREPARE THE EVIDENCE</w:t>
      </w:r>
    </w:p>
    <w:p>
      <w:pPr>
        <w:pStyle w:val="BigPageTitle"/>
      </w:pPr>
      <w:r>
        <w:t>Chunking is a choice about meaning</w:t>
      </w:r>
    </w:p>
    <w:p>
      <w:pPr>
        <w:pStyle w:val="Lead"/>
      </w:pPr>
      <w:r>
        <w:t>You are not merely cutting text into pieces. You are deciding what a search result will be able to explain on its own.</w:t>
      </w:r>
    </w:p>
    <w:p>
      <w:pPr>
        <w:pStyle w:val="BodyNarrative"/>
      </w:pPr>
      <w:r>
        <w:t>Fixed-size chunking is easy: take every N characters or tokens, often with some overlap. But a chunk can end in the middle of a table, experiment, or sentence. Structure-aware chunking instead follows headings, paragraphs, tables, and code blocks; semantic chunking tries to cut when the topic changes.</w:t>
      </w: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A USEFUL MENTAL PICTURE</w:t>
            </w:r>
          </w:p>
          <w:p>
            <w:pPr>
              <w:pStyle w:val="ExampleText"/>
            </w:pPr>
            <w:r>
              <w:t>Instead of slicing a research paper every 500 characters, keep the “Experimental Setup” explanation together, and only split it further when it exceeds the embedding model’s usable input length.</w:t>
            </w:r>
          </w:p>
        </w:tc>
      </w:tr>
    </w:tbl>
    <w:tbl>
      <w:tblPr>
        <w:tblW w:type="auto" w:w="0"/>
        <w:jc w:val="center"/>
        <w:tblLayout w:type="fixed"/>
        <w:tblLook w:firstColumn="1" w:firstRow="1" w:lastColumn="0" w:lastRow="0" w:noHBand="0" w:noVBand="1" w:val="04A0"/>
      </w:tblPr>
      <w:tblGrid>
        <w:gridCol w:w="4512"/>
        <w:gridCol w:w="4512"/>
        <w:gridCol w:w="4512"/>
      </w:tblGrid>
      <w:tr>
        <w:trPr>
          <w:cantSplit/>
        </w:trPr>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Fixed / recursive</w:t>
            </w:r>
          </w:p>
          <w:p>
            <w:pPr>
              <w:pStyle w:val="PanelBody"/>
            </w:pPr>
            <w:r>
              <w:t>Simple and predictable. Separator-aware recursion avoids many abrupt cuts, but boundaries are still approximate.</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Structure-aware</w:t>
            </w:r>
          </w:p>
          <w:p>
            <w:pPr>
              <w:pStyle w:val="PanelBody"/>
            </w:pPr>
            <w:r>
              <w:t>Preserves sections, tables, and procedures. Especially useful when the document structure is trustworthy.</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Semantic</w:t>
            </w:r>
          </w:p>
          <w:p>
            <w:pPr>
              <w:pStyle w:val="PanelBody"/>
            </w:pPr>
            <w:r>
              <w:t>Uses changes in sentence meaning to choose cuts. It adds processing and may create uneven chunk sizes.</w:t>
            </w:r>
          </w:p>
        </w:tc>
      </w:tr>
    </w:tbl>
    <w:p>
      <w:pPr>
        <w:spacing w:after="0"/>
      </w:pPr>
    </w:p>
    <w:p>
      <w:pPr>
        <w:pStyle w:val="ClosingNote"/>
      </w:pPr>
      <w:r>
        <w:rPr>
          <w:b/>
          <w:color w:val="137D82"/>
        </w:rPr>
        <w:t xml:space="preserve">Keep in mind  </w:t>
      </w:r>
      <w:r>
        <w:t>Overlap can save facts near a boundary, but too much overlap creates duplicates and increases retrieval noise.</w:t>
      </w:r>
    </w:p>
    <w:p>
      <w:r>
        <w:br w:type="page"/>
      </w:r>
    </w:p>
    <w:p>
      <w:pPr>
        <w:pStyle w:val="SectionKicker"/>
      </w:pPr>
      <w:r>
        <w:t>03  /  BRING BACK MISSING CONTEXT</w:t>
      </w:r>
    </w:p>
    <w:p>
      <w:pPr>
        <w:pStyle w:val="BigPageTitle"/>
      </w:pPr>
      <w:r>
        <w:t>Make each chunk understandable in isolation</w:t>
      </w:r>
    </w:p>
    <w:p>
      <w:pPr>
        <w:pStyle w:val="Lead"/>
      </w:pPr>
      <w:r>
        <w:t>A paragraph that is clear inside its paper may become confusing when retrieved by itself.</w:t>
      </w:r>
    </w:p>
    <w:p>
      <w:pPr>
        <w:pStyle w:val="BodyNarrative"/>
      </w:pPr>
      <w:r>
        <w:t>Consider a chunk that says, “This approach improved the score by 12%.” On its own, it does not identify the approach, task, or baseline. Adding its heading path, such as “Results &gt; Small-data experiments,” is a cheap form of contextual enrichment. A stronger version asks an LLM to write a brief description of what the chunk refers to.</w:t>
      </w:r>
    </w:p>
    <w:tbl>
      <w:tblPr>
        <w:tblW w:type="auto" w:w="0"/>
        <w:tblLayout w:type="fixed"/>
        <w:tblLook w:firstColumn="1" w:firstRow="1" w:lastColumn="0" w:lastRow="0" w:noHBand="0" w:noVBand="1" w:val="04A0"/>
      </w:tblPr>
      <w:tblGrid>
        <w:gridCol w:w="1934"/>
        <w:gridCol w:w="1934"/>
        <w:gridCol w:w="1934"/>
        <w:gridCol w:w="1934"/>
        <w:gridCol w:w="1934"/>
        <w:gridCol w:w="1934"/>
        <w:gridCol w:w="1934"/>
      </w:tblGrid>
      <w:tr>
        <w:trPr>
          <w:cantSplit/>
        </w:trPr>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Small passage</w:t>
            </w:r>
          </w:p>
        </w:tc>
        <w:tc>
          <w:tcPr>
            <w:tcW w:type="dxa" w:w="288"/>
            <w:tcBorders>
              <w:top w:val="nil"/>
              <w:left w:val="nil"/>
              <w:bottom w:val="nil"/>
              <w:right w:val="nil"/>
              <w:insideH w:val="nil"/>
              <w:insideV w:val="nil"/>
            </w:tcBorders>
          </w:tcPr>
          <w:p>
            <w:pPr>
              <w:jc w:val="center"/>
            </w:pPr>
            <w:r/>
            <w:r>
              <w:rPr>
                <w:color w:val="137D82"/>
                <w:sz w:val="28"/>
              </w:rPr>
              <w:t>→</w:t>
            </w:r>
          </w:p>
        </w:tc>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Search precisely</w:t>
            </w:r>
          </w:p>
        </w:tc>
        <w:tc>
          <w:tcPr>
            <w:tcW w:type="dxa" w:w="288"/>
            <w:tcBorders>
              <w:top w:val="nil"/>
              <w:left w:val="nil"/>
              <w:bottom w:val="nil"/>
              <w:right w:val="nil"/>
              <w:insideH w:val="nil"/>
              <w:insideV w:val="nil"/>
            </w:tcBorders>
          </w:tcPr>
          <w:p>
            <w:pPr>
              <w:jc w:val="center"/>
            </w:pPr>
            <w:r/>
            <w:r>
              <w:rPr>
                <w:color w:val="137D82"/>
                <w:sz w:val="28"/>
              </w:rPr>
              <w:t>→</w:t>
            </w:r>
          </w:p>
        </w:tc>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Match found</w:t>
            </w:r>
          </w:p>
        </w:tc>
        <w:tc>
          <w:tcPr>
            <w:tcW w:type="dxa" w:w="288"/>
            <w:tcBorders>
              <w:top w:val="nil"/>
              <w:left w:val="nil"/>
              <w:bottom w:val="nil"/>
              <w:right w:val="nil"/>
              <w:insideH w:val="nil"/>
              <w:insideV w:val="nil"/>
            </w:tcBorders>
          </w:tcPr>
          <w:p>
            <w:pPr>
              <w:jc w:val="center"/>
            </w:pPr>
            <w:r/>
            <w:r>
              <w:rPr>
                <w:color w:val="137D82"/>
                <w:sz w:val="28"/>
              </w:rPr>
              <w:t>→</w:t>
            </w:r>
          </w:p>
        </w:tc>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Return parent</w:t>
            </w:r>
          </w:p>
        </w:tc>
      </w:tr>
    </w:tbl>
    <w:p>
      <w:pPr>
        <w:spacing w:after="0"/>
      </w:pPr>
    </w:p>
    <w:p>
      <w:pPr>
        <w:pStyle w:val="BodyNarrative"/>
      </w:pPr>
      <w:r>
        <w:t>A related method, often called small-to-big retrieval, searches short sentences or paragraphs but returns their larger parent section to the generator. It separates the ideal unit for finding a fact from the ideal unit for explaining it.</w:t>
      </w: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EXAMPLE</w:t>
            </w:r>
          </w:p>
          <w:p>
            <w:pPr>
              <w:pStyle w:val="ExampleText"/>
            </w:pPr>
            <w:r>
              <w:t>Indexed text: “Dropout reduced divergence.”  →  Returned context: the full paragraph describing which model, dataset, and comparison produced that result.</w:t>
            </w:r>
          </w:p>
        </w:tc>
      </w:tr>
    </w:tbl>
    <w:p>
      <w:pPr>
        <w:pStyle w:val="ClosingNote"/>
      </w:pPr>
      <w:r>
        <w:rPr>
          <w:b/>
          <w:color w:val="137D82"/>
        </w:rPr>
        <w:t xml:space="preserve">Keep in mind  </w:t>
      </w:r>
      <w:r>
        <w:t>More context can improve interpretation, but oversized parent sections can make the final prompt noisy. LLM-generated enrichment also adds ingestion cost.</w:t>
      </w:r>
    </w:p>
    <w:p>
      <w:r>
        <w:br w:type="page"/>
      </w:r>
    </w:p>
    <w:p>
      <w:pPr>
        <w:pStyle w:val="SectionKicker"/>
      </w:pPr>
      <w:r>
        <w:t>04  /  REPRESENT AND ORGANIZE</w:t>
      </w:r>
    </w:p>
    <w:p>
      <w:pPr>
        <w:pStyle w:val="BigPageTitle"/>
      </w:pPr>
      <w:r>
        <w:t>Embeddings find meaning; indexes make search practical</w:t>
      </w:r>
    </w:p>
    <w:p>
      <w:pPr>
        <w:pStyle w:val="Lead"/>
      </w:pPr>
      <w:r>
        <w:t>An embedding and a vector index are not the same object.</w:t>
      </w:r>
    </w:p>
    <w:p>
      <w:pPr>
        <w:pStyle w:val="BodyNarrative"/>
      </w:pPr>
      <w:r>
        <w:t>An embedding model converts text into a numeric vector. Similar meanings are intended to land near one another in that space. An index is the searchable structure built over many stored vectors; given a new query vector, it returns the IDs of nearby passages. The passage text is usually retrieved using those IDs.</w:t>
      </w:r>
    </w:p>
    <w:tbl>
      <w:tblPr>
        <w:tblW w:type="auto" w:w="0"/>
        <w:tblLayout w:type="fixed"/>
        <w:tblLook w:firstColumn="1" w:firstRow="1" w:lastColumn="0" w:lastRow="0" w:noHBand="0" w:noVBand="1" w:val="04A0"/>
      </w:tblPr>
      <w:tblGrid>
        <w:gridCol w:w="1504"/>
        <w:gridCol w:w="1504"/>
        <w:gridCol w:w="1504"/>
        <w:gridCol w:w="1504"/>
        <w:gridCol w:w="1504"/>
        <w:gridCol w:w="1504"/>
        <w:gridCol w:w="1504"/>
        <w:gridCol w:w="1504"/>
        <w:gridCol w:w="1504"/>
      </w:tblGrid>
      <w:tr>
        <w:trPr>
          <w:cantSplit/>
        </w:trPr>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Text passage</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Embedding vector</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Vector index</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Nearest IDs</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Original text</w:t>
            </w:r>
          </w:p>
        </w:tc>
      </w:tr>
    </w:tbl>
    <w:p>
      <w:pPr>
        <w:spacing w:after="0"/>
      </w:pPr>
    </w:p>
    <w:p>
      <w:pPr>
        <w:pStyle w:val="BodyNarrative"/>
      </w:pPr>
      <w:r>
        <w:t>An exact index compares against all stored vectors. Approximate indexes such as HNSW use graph connections, while IVF searches promising clusters. They can be faster at scale but introduce recall-versus-speed trade-offs. Better indexing cannot repair an embedding that fails to represent the meaning.</w:t>
      </w: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ONE DISTINCTION WORTH REMEMBERING</w:t>
            </w:r>
          </w:p>
          <w:p>
            <w:pPr>
              <w:pStyle w:val="ExampleText"/>
            </w:pPr>
            <w:r>
              <w:t>A dictionary maps a known key to a value. A vector index searches for similar vectors even though the exact ID of the relevant passage is not known in advance.</w:t>
            </w:r>
          </w:p>
        </w:tc>
      </w:tr>
    </w:tbl>
    <w:p>
      <w:pPr>
        <w:pStyle w:val="ClosingNote"/>
      </w:pPr>
      <w:r>
        <w:rPr>
          <w:b/>
          <w:color w:val="137D82"/>
        </w:rPr>
        <w:t xml:space="preserve">Keep in mind  </w:t>
      </w:r>
      <w:r>
        <w:t>Check embedding model fit, input truncation, and query/document formatting before tuning an elaborate index.</w:t>
      </w:r>
    </w:p>
    <w:p>
      <w:r>
        <w:br w:type="page"/>
      </w:r>
    </w:p>
    <w:p>
      <w:pPr>
        <w:pStyle w:val="SectionKicker"/>
      </w:pPr>
      <w:r>
        <w:t>05  /  COMBINE SEARCH SIGNALS</w:t>
      </w:r>
    </w:p>
    <w:p>
      <w:pPr>
        <w:pStyle w:val="BigPageTitle"/>
      </w:pPr>
      <w:r>
        <w:t>Hybrid retrieval gives search two different instincts</w:t>
      </w:r>
    </w:p>
    <w:p>
      <w:pPr>
        <w:pStyle w:val="Lead"/>
      </w:pPr>
      <w:r>
        <w:t>Sometimes a passage matters because of its meaning. Sometimes it matters because of one exact token.</w:t>
      </w:r>
    </w:p>
    <w:p>
      <w:pPr>
        <w:pStyle w:val="BodyNarrative"/>
      </w:pPr>
      <w:r>
        <w:t>Dense retrieval uses embedding similarity, which can connect “prevent overfitting” with “regularization through dropout.” Sparse search such as BM25 rewards matching words and is helpful for names, error codes, numerical settings, and uncommon terminology. Neither is uniformly stronger.</w:t>
      </w:r>
    </w:p>
    <w:tbl>
      <w:tblPr>
        <w:tblW w:type="auto" w:w="0"/>
        <w:jc w:val="center"/>
        <w:tblLayout w:type="fixed"/>
        <w:tblLook w:firstColumn="1" w:firstRow="1" w:lastColumn="0" w:lastRow="0" w:noHBand="0" w:noVBand="1" w:val="04A0"/>
      </w:tblPr>
      <w:tblGrid>
        <w:gridCol w:w="6768"/>
        <w:gridCol w:w="6768"/>
      </w:tblGrid>
      <w:tr>
        <w:trPr>
          <w:cantSplit/>
        </w:trPr>
        <w:tc>
          <w:tcPr>
            <w:tcW w:type="dxa" w:w="6768"/>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Dense search</w:t>
            </w:r>
          </w:p>
          <w:p>
            <w:pPr>
              <w:pStyle w:val="PanelBody"/>
            </w:pPr>
            <w:r>
              <w:t>“How did the model avoid overfitting?”  →  passages about regularization and generalization.</w:t>
            </w:r>
          </w:p>
        </w:tc>
        <w:tc>
          <w:tcPr>
            <w:tcW w:type="dxa" w:w="6768"/>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Sparse search</w:t>
            </w:r>
          </w:p>
          <w:p>
            <w:pPr>
              <w:pStyle w:val="PanelBody"/>
            </w:pPr>
            <w:r>
              <w:t>“GAT dropout 0.3”  →  passages with the exact architecture name and numeric setting.</w:t>
            </w:r>
          </w:p>
        </w:tc>
      </w:tr>
    </w:tbl>
    <w:p>
      <w:pPr>
        <w:spacing w:after="0"/>
      </w:pPr>
    </w:p>
    <w:p>
      <w:pPr>
        <w:pStyle w:val="BodyNarrative"/>
      </w:pPr>
      <w:r>
        <w:t>Hybrid retrieval searches both routes and combines their rankings. Reciprocal Rank Fusion (RRF) assigns more credit to items near the top of either ranked list without requiring the two methods’ scores to be directly comparable.</w:t>
      </w: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THE TRADE-OFF</w:t>
            </w:r>
          </w:p>
          <w:p>
            <w:pPr>
              <w:pStyle w:val="ExampleText"/>
            </w:pPr>
            <w:r>
              <w:t>Hybrid search may find more kinds of evidence, but merging extra candidates can also bring noise. The gain depends on the query mix and corpus.</w:t>
            </w:r>
          </w:p>
        </w:tc>
      </w:tr>
    </w:tbl>
    <w:p>
      <w:r>
        <w:br w:type="page"/>
      </w:r>
    </w:p>
    <w:p>
      <w:pPr>
        <w:pStyle w:val="SectionKicker"/>
      </w:pPr>
      <w:r>
        <w:t>06  /  TRANSFORM THE QUERY</w:t>
      </w:r>
    </w:p>
    <w:p>
      <w:pPr>
        <w:pStyle w:val="BigPageTitle"/>
      </w:pPr>
      <w:r>
        <w:t>The wording of a question is itself a retrieval choice</w:t>
      </w:r>
    </w:p>
    <w:p>
      <w:pPr>
        <w:pStyle w:val="Lead"/>
      </w:pPr>
      <w:r>
        <w:t>A good answer passage may describe a solution without sharing many words with the question.</w:t>
      </w:r>
    </w:p>
    <w:p>
      <w:pPr>
        <w:pStyle w:val="BodyNarrative"/>
      </w:pPr>
      <w:r>
        <w:t>Query rewriting turns a conversational question into clearer retrieval language. HyDE takes a different route: it asks an LLM for a plausible answer-like passage and embeds that passage to search for real supporting text. Multi-query retrieval produces several phrasings and fuses the results, reducing dependence on one wording.</w:t>
      </w:r>
    </w:p>
    <w:tbl>
      <w:tblPr>
        <w:tblW w:type="auto" w:w="0"/>
        <w:jc w:val="center"/>
        <w:tblLayout w:type="fixed"/>
        <w:tblLook w:firstColumn="1" w:firstRow="1" w:lastColumn="0" w:lastRow="0" w:noHBand="0" w:noVBand="1" w:val="04A0"/>
      </w:tblPr>
      <w:tblGrid>
        <w:gridCol w:w="4512"/>
        <w:gridCol w:w="4512"/>
        <w:gridCol w:w="4512"/>
      </w:tblGrid>
      <w:tr>
        <w:trPr>
          <w:cantSplit/>
        </w:trPr>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Rewrite</w:t>
            </w:r>
          </w:p>
          <w:p>
            <w:pPr>
              <w:pStyle w:val="PanelBody"/>
            </w:pPr>
            <w:r>
              <w:t>“Why did it overfit?”  →  “regularization in graph attention networks on small datasets”</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HyDE</w:t>
            </w:r>
          </w:p>
          <w:p>
            <w:pPr>
              <w:pStyle w:val="PanelBody"/>
            </w:pPr>
            <w:r>
              <w:t>Generate a hypothetical technical answer, embed it, then look for genuine passages nearby.</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Multi-query</w:t>
            </w:r>
          </w:p>
          <w:p>
            <w:pPr>
              <w:pStyle w:val="PanelBody"/>
            </w:pPr>
            <w:r>
              <w:t>Search for several distinct phrasings and combine the candidate rankings.</w:t>
            </w:r>
          </w:p>
        </w:tc>
      </w:tr>
    </w:tbl>
    <w:p>
      <w:pPr>
        <w:spacing w:after="0"/>
      </w:pPr>
    </w:p>
    <w:p>
      <w:pPr>
        <w:pStyle w:val="BodyNarrative"/>
      </w:pPr>
      <w:r>
        <w:t>A related idea, step-back prompting, retrieves broader background for a very specific question. These methods can help when query and document language differ, but extra LLM calls increase latency and an invented detail can steer retrieval in the wrong direction.</w:t>
      </w:r>
    </w:p>
    <w:p>
      <w:pPr>
        <w:pStyle w:val="ClosingNote"/>
      </w:pPr>
      <w:r>
        <w:rPr>
          <w:b/>
          <w:color w:val="137D82"/>
        </w:rPr>
        <w:t xml:space="preserve">Keep in mind  </w:t>
      </w:r>
      <w:r>
        <w:t>The generated HyDE passage is a search aid, not evidence to cite as fact.</w:t>
      </w:r>
    </w:p>
    <w:p>
      <w:r>
        <w:br w:type="page"/>
      </w:r>
    </w:p>
    <w:p>
      <w:pPr>
        <w:pStyle w:val="SectionKicker"/>
      </w:pPr>
      <w:r>
        <w:t>07  /  CHOOSE USEFUL CANDIDATES</w:t>
      </w:r>
    </w:p>
    <w:p>
      <w:pPr>
        <w:pStyle w:val="BigPageTitle"/>
      </w:pPr>
      <w:r>
        <w:t>Nearest does not always mean most useful</w:t>
      </w:r>
    </w:p>
    <w:p>
      <w:pPr>
        <w:pStyle w:val="Lead"/>
      </w:pPr>
      <w:r>
        <w:t>The job changes after retrieval: from finding a broad candidate pool to choosing a small, complementary set.</w:t>
      </w:r>
    </w:p>
    <w:p>
      <w:pPr>
        <w:pStyle w:val="BodyNarrative"/>
      </w:pPr>
      <w:r>
        <w:t>Suppose the top five retrieved chunks all describe the same experiment, while the sixth explains the competing baseline. Maximal Marginal Relevance (MMR) can trade some raw similarity for diversity, allowing different relevant aspects into the context.</w:t>
      </w:r>
    </w:p>
    <w:tbl>
      <w:tblPr>
        <w:tblW w:type="auto" w:w="0"/>
        <w:tblLayout w:type="fixed"/>
        <w:tblLook w:firstColumn="1" w:firstRow="1" w:lastColumn="0" w:lastRow="0" w:noHBand="0" w:noVBand="1" w:val="04A0"/>
      </w:tblPr>
      <w:tblGrid>
        <w:gridCol w:w="1934"/>
        <w:gridCol w:w="1934"/>
        <w:gridCol w:w="1934"/>
        <w:gridCol w:w="1934"/>
        <w:gridCol w:w="1934"/>
        <w:gridCol w:w="1934"/>
        <w:gridCol w:w="1934"/>
      </w:tblGrid>
      <w:tr>
        <w:trPr>
          <w:cantSplit/>
        </w:trPr>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Broad candidates</w:t>
            </w:r>
          </w:p>
        </w:tc>
        <w:tc>
          <w:tcPr>
            <w:tcW w:type="dxa" w:w="288"/>
            <w:tcBorders>
              <w:top w:val="nil"/>
              <w:left w:val="nil"/>
              <w:bottom w:val="nil"/>
              <w:right w:val="nil"/>
              <w:insideH w:val="nil"/>
              <w:insideV w:val="nil"/>
            </w:tcBorders>
          </w:tcPr>
          <w:p>
            <w:pPr>
              <w:jc w:val="center"/>
            </w:pPr>
            <w:r/>
            <w:r>
              <w:rPr>
                <w:color w:val="137D82"/>
                <w:sz w:val="28"/>
              </w:rPr>
              <w:t>→</w:t>
            </w:r>
          </w:p>
        </w:tc>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Diversify / rerank</w:t>
            </w:r>
          </w:p>
        </w:tc>
        <w:tc>
          <w:tcPr>
            <w:tcW w:type="dxa" w:w="288"/>
            <w:tcBorders>
              <w:top w:val="nil"/>
              <w:left w:val="nil"/>
              <w:bottom w:val="nil"/>
              <w:right w:val="nil"/>
              <w:insideH w:val="nil"/>
              <w:insideV w:val="nil"/>
            </w:tcBorders>
          </w:tcPr>
          <w:p>
            <w:pPr>
              <w:jc w:val="center"/>
            </w:pPr>
            <w:r/>
            <w:r>
              <w:rPr>
                <w:color w:val="137D82"/>
                <w:sz w:val="28"/>
              </w:rPr>
              <w:t>→</w:t>
            </w:r>
          </w:p>
        </w:tc>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Filter noise</w:t>
            </w:r>
          </w:p>
        </w:tc>
        <w:tc>
          <w:tcPr>
            <w:tcW w:type="dxa" w:w="288"/>
            <w:tcBorders>
              <w:top w:val="nil"/>
              <w:left w:val="nil"/>
              <w:bottom w:val="nil"/>
              <w:right w:val="nil"/>
              <w:insideH w:val="nil"/>
              <w:insideV w:val="nil"/>
            </w:tcBorders>
          </w:tcPr>
          <w:p>
            <w:pPr>
              <w:jc w:val="center"/>
            </w:pPr>
            <w:r/>
            <w:r>
              <w:rPr>
                <w:color w:val="137D82"/>
                <w:sz w:val="28"/>
              </w:rPr>
              <w:t>→</w:t>
            </w:r>
          </w:p>
        </w:tc>
        <w:tc>
          <w:tcPr>
            <w:tcW w:type="dxa" w:w="2968"/>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Selected evidence</w:t>
            </w:r>
          </w:p>
        </w:tc>
      </w:tr>
    </w:tbl>
    <w:p>
      <w:pPr>
        <w:spacing w:after="0"/>
      </w:pPr>
    </w:p>
    <w:p>
      <w:pPr>
        <w:pStyle w:val="BodyNarrative"/>
      </w:pPr>
      <w:r>
        <w:t>A cross-encoder reranker reads the question and each candidate passage together, enabling finer relevance judgments than separate embeddings can provide. Filtering can remove clearly irrelevant passages; contextual compression can keep only useful excerpts, though compression may accidentally discard necessary qualifiers.</w:t>
      </w: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EXAMPLE</w:t>
            </w:r>
          </w:p>
          <w:p>
            <w:pPr>
              <w:pStyle w:val="ExampleText"/>
            </w:pPr>
            <w:r>
              <w:t>Instead of returning five near-duplicate descriptions of dropout, return the method, the evaluation setup, and the comparison needed to answer the question.</w:t>
            </w:r>
          </w:p>
        </w:tc>
      </w:tr>
    </w:tbl>
    <w:p>
      <w:pPr>
        <w:pStyle w:val="ClosingNote"/>
      </w:pPr>
      <w:r>
        <w:rPr>
          <w:b/>
          <w:color w:val="137D82"/>
        </w:rPr>
        <w:t xml:space="preserve">Keep in mind  </w:t>
      </w:r>
      <w:r>
        <w:t>Reranking costs grow with the number of candidates. MMR prioritizes coverage, so it may sacrifice some top-ranked relevance.</w:t>
      </w:r>
    </w:p>
    <w:p>
      <w:r>
        <w:br w:type="page"/>
      </w:r>
    </w:p>
    <w:p>
      <w:pPr>
        <w:pStyle w:val="SectionKicker"/>
      </w:pPr>
      <w:r>
        <w:t>08  /  USE RETRIEVED EVIDENCE</w:t>
      </w:r>
    </w:p>
    <w:p>
      <w:pPr>
        <w:pStyle w:val="BigPageTitle"/>
      </w:pPr>
      <w:r>
        <w:t>The final prompt is part of the system</w:t>
      </w:r>
    </w:p>
    <w:p>
      <w:pPr>
        <w:pStyle w:val="Lead"/>
      </w:pPr>
      <w:r>
        <w:t>Retrieving a correct passage is not enough if the model overlooks it or makes claims it does not support.</w:t>
      </w:r>
    </w:p>
    <w:p>
      <w:pPr>
        <w:pStyle w:val="BodyNarrative"/>
      </w:pPr>
      <w:r>
        <w:t>Long prompts can bury critical facts. Context packing places the most useful material where it is likely to be noticed, while trimming irrelevant passages lowers the amount of noise. A grounded generation prompt labels each source, asks the model to support claims with those sources, and allows it to say that the evidence is insufficient.</w:t>
      </w:r>
    </w:p>
    <w:tbl>
      <w:tblPr>
        <w:tblW w:type="auto" w:w="0"/>
        <w:tblLayout w:type="fixed"/>
        <w:tblLook w:firstColumn="1" w:firstRow="1" w:lastColumn="0" w:lastRow="0" w:noHBand="0" w:noVBand="1" w:val="04A0"/>
      </w:tblPr>
      <w:tblGrid>
        <w:gridCol w:w="13536"/>
      </w:tblGrid>
      <w:tr>
        <w:trPr>
          <w:cantSplit/>
        </w:trPr>
        <w:tc>
          <w:tcPr>
            <w:tcW w:type="dxa" w:w="13536"/>
            <w:shd w:fill="F8F6F0"/>
            <w:tcMar>
              <w:top w:w="200" w:type="dxa"/>
              <w:start w:w="255" w:type="dxa"/>
              <w:bottom w:w="195" w:type="dxa"/>
              <w:end w:w="240" w:type="dxa"/>
            </w:tcMar>
            <w:tcBorders>
              <w:top w:val="nil"/>
              <w:left w:val="nil"/>
              <w:bottom w:val="nil"/>
              <w:right w:val="nil"/>
              <w:insideH w:val="nil"/>
              <w:insideV w:val="nil"/>
            </w:tcBorders>
          </w:tcPr>
          <w:p>
            <w:pPr>
              <w:pStyle w:val="MicroLabel"/>
            </w:pPr>
            <w:r/>
            <w:r>
              <w:t>A GROUNDED ANSWER</w:t>
            </w:r>
          </w:p>
          <w:p>
            <w:pPr>
              <w:pStyle w:val="ExampleText"/>
            </w:pPr>
            <w:r>
              <w:t>“The authors used dropout on attention coefficients to reduce overfitting [Source 2].” The citation should resolve to the original passage, not merely to a model-produced citation number.</w:t>
            </w:r>
          </w:p>
        </w:tc>
      </w:tr>
    </w:tbl>
    <w:p>
      <w:pPr>
        <w:pStyle w:val="BodyNarrative"/>
      </w:pPr>
      <w:r>
        <w:t>Corrective RAG adds another checkpoint: inspect retrieval quality and decide whether to proceed, retrieve again, or abstain. Prompted citations are useful but not proof; a separate verification step may still be needed to check whether a cited source truly supports a claim.</w:t>
      </w:r>
    </w:p>
    <w:p>
      <w:pPr>
        <w:pStyle w:val="ClosingNote"/>
      </w:pPr>
      <w:r>
        <w:rPr>
          <w:b/>
          <w:color w:val="137D82"/>
        </w:rPr>
        <w:t xml:space="preserve">Keep in mind  </w:t>
      </w:r>
      <w:r>
        <w:t>Retrieved documents should be treated as untrusted data, not instructions for the assistant to follow.</w:t>
      </w:r>
    </w:p>
    <w:p>
      <w:r>
        <w:br w:type="page"/>
      </w:r>
    </w:p>
    <w:p>
      <w:pPr>
        <w:pStyle w:val="SectionKicker"/>
      </w:pPr>
      <w:r>
        <w:t>09  /  MEASURE AND LEARN</w:t>
      </w:r>
    </w:p>
    <w:p>
      <w:pPr>
        <w:pStyle w:val="BigPageTitle"/>
      </w:pPr>
      <w:r>
        <w:t>An optimization is a hypothesis until it is measured</w:t>
      </w:r>
    </w:p>
    <w:p>
      <w:pPr>
        <w:pStyle w:val="Lead"/>
      </w:pPr>
      <w:r>
        <w:t>The goal is not the most complicated pipeline; it is a better answer at a justified cost.</w:t>
      </w:r>
    </w:p>
    <w:p>
      <w:pPr>
        <w:pStyle w:val="BodyNarrative"/>
      </w:pPr>
      <w:r>
        <w:t>Retrieval metrics ask whether the right evidence appeared: Recall@k measures coverage and MRR rewards finding useful evidence early. Generation metrics ask a different question: Did the answer address the user’s question, and were its claims supported by the context? Answer F1 can compare against reference answers when suitable.</w:t>
      </w:r>
    </w:p>
    <w:tbl>
      <w:tblPr>
        <w:tblW w:type="auto" w:w="0"/>
        <w:jc w:val="center"/>
        <w:tblLayout w:type="fixed"/>
        <w:tblLook w:firstColumn="1" w:firstRow="1" w:lastColumn="0" w:lastRow="0" w:noHBand="0" w:noVBand="1" w:val="04A0"/>
      </w:tblPr>
      <w:tblGrid>
        <w:gridCol w:w="4512"/>
        <w:gridCol w:w="4512"/>
        <w:gridCol w:w="4512"/>
      </w:tblGrid>
      <w:tr>
        <w:trPr>
          <w:cantSplit/>
        </w:trPr>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Retrieval quality</w:t>
            </w:r>
          </w:p>
          <w:p>
            <w:pPr>
              <w:pStyle w:val="PanelBody"/>
            </w:pPr>
            <w:r>
              <w:t>Recall@k · MRR · evidence precision</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Answer quality</w:t>
            </w:r>
          </w:p>
          <w:p>
            <w:pPr>
              <w:pStyle w:val="PanelBody"/>
            </w:pPr>
            <w:r>
              <w:t>Answer F1 · faithfulness · supported citations</w:t>
            </w:r>
          </w:p>
        </w:tc>
        <w:tc>
          <w:tcPr>
            <w:tcW w:type="dxa" w:w="4512"/>
            <w:shd w:fill="F2F6FA"/>
            <w:tcMar>
              <w:top w:w="260" w:type="dxa"/>
              <w:start w:w="240" w:type="dxa"/>
              <w:bottom w:w="260" w:type="dxa"/>
              <w:end w:w="220" w:type="dxa"/>
            </w:tcMar>
            <w:vAlign w:val="center"/>
            <w:tcBorders>
              <w:top w:val="nil"/>
              <w:left w:val="nil"/>
              <w:bottom w:val="nil"/>
              <w:right w:val="nil"/>
              <w:insideH w:val="nil"/>
              <w:insideV w:val="nil"/>
            </w:tcBorders>
          </w:tcPr>
          <w:p>
            <w:pPr>
              <w:pStyle w:val="PanelTitle"/>
            </w:pPr>
            <w:r/>
            <w:r>
              <w:t>Practicality</w:t>
            </w:r>
          </w:p>
          <w:p>
            <w:pPr>
              <w:pStyle w:val="PanelBody"/>
            </w:pPr>
            <w:r>
              <w:t>Latency · token cost · LLM calls · abstention errors</w:t>
            </w:r>
          </w:p>
        </w:tc>
      </w:tr>
    </w:tbl>
    <w:p>
      <w:pPr>
        <w:spacing w:after="0"/>
      </w:pPr>
    </w:p>
    <w:p>
      <w:pPr>
        <w:pStyle w:val="BodyNarrative"/>
      </w:pPr>
      <w:r>
        <w:t>A sound experiment starts with a baseline, inspects failure cases, changes one component, and evaluates on the same held-out questions. Ablations reveal whether a new stage helped, did nothing, or made some queries worse.</w:t>
      </w:r>
    </w:p>
    <w:tbl>
      <w:tblPr>
        <w:tblW w:type="auto" w:w="0"/>
        <w:tblLayout w:type="fixed"/>
        <w:tblLook w:firstColumn="1" w:firstRow="1" w:lastColumn="0" w:lastRow="0" w:noHBand="0" w:noVBand="1" w:val="04A0"/>
      </w:tblPr>
      <w:tblGrid>
        <w:gridCol w:w="1504"/>
        <w:gridCol w:w="1504"/>
        <w:gridCol w:w="1504"/>
        <w:gridCol w:w="1504"/>
        <w:gridCol w:w="1504"/>
        <w:gridCol w:w="1504"/>
        <w:gridCol w:w="1504"/>
        <w:gridCol w:w="1504"/>
        <w:gridCol w:w="1504"/>
      </w:tblGrid>
      <w:tr>
        <w:trPr>
          <w:cantSplit/>
        </w:trPr>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Baseline</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Inspect failures</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Try a change</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Measure</w:t>
            </w:r>
          </w:p>
        </w:tc>
        <w:tc>
          <w:tcPr>
            <w:tcW w:type="dxa" w:w="288"/>
            <w:tcBorders>
              <w:top w:val="nil"/>
              <w:left w:val="nil"/>
              <w:bottom w:val="nil"/>
              <w:right w:val="nil"/>
              <w:insideH w:val="nil"/>
              <w:insideV w:val="nil"/>
            </w:tcBorders>
          </w:tcPr>
          <w:p>
            <w:pPr>
              <w:jc w:val="center"/>
            </w:pPr>
            <w:r/>
            <w:r>
              <w:rPr>
                <w:color w:val="137D82"/>
                <w:sz w:val="28"/>
              </w:rPr>
              <w:t>→</w:t>
            </w:r>
          </w:p>
        </w:tc>
        <w:tc>
          <w:tcPr>
            <w:tcW w:type="dxa" w:w="2375"/>
            <w:shd w:fill="EDF5F5"/>
            <w:tcMar>
              <w:top w:w="220" w:type="dxa"/>
              <w:start w:w="70" w:type="dxa"/>
              <w:bottom w:w="220" w:type="dxa"/>
              <w:end w:w="70" w:type="dxa"/>
            </w:tcMar>
            <w:tcBorders>
              <w:top w:val="nil"/>
              <w:left w:val="nil"/>
              <w:bottom w:val="nil"/>
              <w:right w:val="nil"/>
              <w:insideH w:val="nil"/>
              <w:insideV w:val="nil"/>
            </w:tcBorders>
          </w:tcPr>
          <w:p>
            <w:pPr>
              <w:jc w:val="center"/>
            </w:pPr>
            <w:r/>
            <w:r>
              <w:rPr>
                <w:rFonts w:ascii="Lato" w:hAnsi="Lato"/>
                <w:b/>
                <w:color w:val="193149"/>
                <w:sz w:val="22"/>
              </w:rPr>
              <w:t>Keep or revert</w:t>
            </w:r>
          </w:p>
        </w:tc>
      </w:tr>
    </w:tbl>
    <w:p>
      <w:pPr>
        <w:spacing w:after="0"/>
      </w:pPr>
    </w:p>
    <w:p>
      <w:pPr>
        <w:pStyle w:val="ClosingNote"/>
      </w:pPr>
      <w:r>
        <w:rPr>
          <w:b/>
          <w:color w:val="137D82"/>
        </w:rPr>
        <w:t xml:space="preserve">Keep in mind  </w:t>
      </w:r>
      <w:r>
        <w:t>A result without a matching cost and failure analysis is only a partial result.</w:t>
      </w:r>
    </w:p>
    <w:sectPr w:rsidR="00FC693F" w:rsidRPr="0006063C" w:rsidSect="00034616">
      <w:footerReference w:type="default" r:id="rId9"/>
      <w:pgSz w:w="15840" w:h="12240" w:orient="landscape"/>
      <w:pgMar w:top="864" w:right="1152" w:bottom="835"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8796A5"/>
        <w:sz w:val="16"/>
      </w:rPr>
      <w:t>RAG OPTIMIZATION   •   CONCEPTS &amp; TRADE-OFFS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Lato" w:hAnsi="Lato"/>
      <w:color w:val="19314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Kicker">
    <w:name w:val="Section Kicker"/>
    <w:pPr>
      <w:widowControl/>
      <w:spacing w:before="0" w:after="220" w:line="269" w:lineRule="auto"/>
    </w:pPr>
    <w:rPr>
      <w:rFonts w:ascii="Lato" w:hAnsi="Lato"/>
      <w:b/>
      <w:color w:val="137D82"/>
      <w:sz w:val="22"/>
    </w:rPr>
  </w:style>
  <w:style w:type="paragraph" w:customStyle="1" w:styleId="BigPageTitle">
    <w:name w:val="Big Page Title"/>
    <w:pPr>
      <w:widowControl/>
      <w:spacing w:before="0" w:after="260" w:line="250" w:lineRule="auto"/>
    </w:pPr>
    <w:rPr>
      <w:rFonts w:ascii="Lato" w:hAnsi="Lato"/>
      <w:b/>
      <w:color w:val="193149"/>
      <w:sz w:val="58"/>
    </w:rPr>
  </w:style>
  <w:style w:type="paragraph" w:customStyle="1" w:styleId="Lead">
    <w:name w:val="Lead"/>
    <w:pPr>
      <w:widowControl/>
      <w:spacing w:before="0" w:after="360" w:line="283" w:lineRule="auto"/>
    </w:pPr>
    <w:rPr>
      <w:rFonts w:ascii="Lato" w:hAnsi="Lato"/>
      <w:b w:val="0"/>
      <w:color w:val="193149"/>
      <w:sz w:val="34"/>
    </w:rPr>
  </w:style>
  <w:style w:type="paragraph" w:customStyle="1" w:styleId="BodyNarrative">
    <w:name w:val="Body Narrative"/>
    <w:pPr>
      <w:widowControl/>
      <w:spacing w:before="0" w:after="280" w:line="298" w:lineRule="auto"/>
    </w:pPr>
    <w:rPr>
      <w:rFonts w:ascii="Lato" w:hAnsi="Lato"/>
      <w:b w:val="0"/>
      <w:color w:val="53677A"/>
      <w:sz w:val="27"/>
    </w:rPr>
  </w:style>
  <w:style w:type="paragraph" w:customStyle="1" w:styleId="PanelTitle">
    <w:name w:val="Panel Title"/>
    <w:pPr>
      <w:widowControl/>
      <w:spacing w:before="0" w:after="120" w:line="269" w:lineRule="auto"/>
    </w:pPr>
    <w:rPr>
      <w:rFonts w:ascii="Lato" w:hAnsi="Lato"/>
      <w:b/>
      <w:color w:val="193149"/>
      <w:sz w:val="26"/>
    </w:rPr>
  </w:style>
  <w:style w:type="paragraph" w:customStyle="1" w:styleId="PanelBody">
    <w:name w:val="Panel Body"/>
    <w:pPr>
      <w:widowControl/>
      <w:spacing w:before="0" w:after="0" w:line="283" w:lineRule="auto"/>
    </w:pPr>
    <w:rPr>
      <w:rFonts w:ascii="Lato" w:hAnsi="Lato"/>
      <w:b w:val="0"/>
      <w:color w:val="53677A"/>
      <w:sz w:val="24"/>
    </w:rPr>
  </w:style>
  <w:style w:type="paragraph" w:customStyle="1" w:styleId="MicroLabel">
    <w:name w:val="Micro Label"/>
    <w:pPr>
      <w:widowControl/>
      <w:spacing w:before="0" w:after="160" w:line="269" w:lineRule="auto"/>
    </w:pPr>
    <w:rPr>
      <w:rFonts w:ascii="Lato" w:hAnsi="Lato"/>
      <w:b/>
      <w:color w:val="137D82"/>
      <w:sz w:val="20"/>
    </w:rPr>
  </w:style>
  <w:style w:type="paragraph" w:customStyle="1" w:styleId="ExampleText">
    <w:name w:val="Example Text"/>
    <w:pPr>
      <w:widowControl/>
      <w:spacing w:before="0" w:after="0" w:line="293" w:lineRule="auto"/>
    </w:pPr>
    <w:rPr>
      <w:rFonts w:ascii="Lato" w:hAnsi="Lato"/>
      <w:b w:val="0"/>
      <w:color w:val="193149"/>
      <w:sz w:val="26"/>
    </w:rPr>
  </w:style>
  <w:style w:type="paragraph" w:customStyle="1" w:styleId="ClosingNote">
    <w:name w:val="Closing Note"/>
    <w:pPr>
      <w:widowControl/>
      <w:spacing w:before="300" w:after="0" w:line="288" w:lineRule="auto"/>
    </w:pPr>
    <w:rPr>
      <w:rFonts w:ascii="Lato" w:hAnsi="Lato"/>
      <w:b w:val="0"/>
      <w:color w:val="53677A"/>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Optimization — A Visual Teaching Guide</dc:title>
  <dc:subject>Narrative, slide-like overview of RAG optimization techniques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