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RAG Optimization</w:t>
      </w:r>
    </w:p>
    <w:p>
      <w:pPr>
        <w:pStyle w:val="SmallNote"/>
        <w:rPr/>
      </w:pPr>
      <w:r>
        <w:rPr/>
        <w:t>Practical task brief  |  Retrieval-first, low-cost evaluation</w:t>
      </w:r>
    </w:p>
    <w:p>
      <w:pPr>
        <w:pStyle w:val="Normal"/>
        <w:rPr/>
      </w:pPr>
      <w:r>
        <w:rPr/>
        <w:t xml:space="preserve">Build a naive RAG retriever for QASPER, inspect 10 failures, test three independent optimizations, and show which changes help. Generate answers on only 20 fixed held-out questions for baseline and final systems. </w:t>
      </w:r>
      <w:r>
        <w:rPr/>
        <w:t>You don’t need to generate answer for other questions just the retrieval is enough.</w:t>
      </w:r>
    </w:p>
    <w:p>
      <w:pPr>
        <w:pStyle w:val="Heading1"/>
        <w:rPr/>
      </w:pPr>
      <w:r>
        <w:rPr/>
        <w:t>1  Dataset and fixed setup</w:t>
      </w:r>
    </w:p>
    <w:tbl>
      <w:tblPr>
        <w:tblW w:w="9850" w:type="dxa"/>
        <w:jc w:val="center"/>
        <w:tblInd w:w="0" w:type="dxa"/>
        <w:tblLayout w:type="fixed"/>
        <w:tblCellMar>
          <w:top w:w="75" w:type="dxa"/>
          <w:left w:w="105" w:type="dxa"/>
          <w:bottom w:w="75" w:type="dxa"/>
          <w:right w:w="105" w:type="dxa"/>
        </w:tblCellMar>
        <w:tblLook w:val="04a0" w:noHBand="0" w:noVBand="1" w:firstColumn="1" w:lastRow="0" w:lastColumn="0" w:firstRow="1"/>
      </w:tblPr>
      <w:tblGrid>
        <w:gridCol w:w="4925"/>
        <w:gridCol w:w="4924"/>
      </w:tblGrid>
      <w:tr>
        <w:trPr>
          <w:tblHeader w:val="true"/>
          <w:cantSplit w:val="true"/>
        </w:trPr>
        <w:tc>
          <w:tcPr>
            <w:tcW w:w="4925" w:type="dxa"/>
            <w:tcBorders/>
            <w:shd w:fill="EAF0F5"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b/>
                <w:color w:val="173050"/>
                <w:sz w:val="18"/>
              </w:rPr>
              <w:t>Item</w:t>
            </w:r>
          </w:p>
        </w:tc>
        <w:tc>
          <w:tcPr>
            <w:tcW w:w="4924" w:type="dxa"/>
            <w:tcBorders/>
            <w:shd w:fill="EAF0F5"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b/>
                <w:color w:val="173050"/>
                <w:sz w:val="18"/>
              </w:rPr>
              <w:t>Rule</w:t>
            </w:r>
          </w:p>
        </w:tc>
      </w:tr>
      <w:tr>
        <w:trPr>
          <w:cantSplit w:val="true"/>
        </w:trPr>
        <w:tc>
          <w:tcPr>
            <w:tcW w:w="4925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Papers</w:t>
            </w:r>
          </w:p>
        </w:tc>
        <w:tc>
          <w:tcPr>
            <w:tcW w:w="4924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QASPER validation split: 80 development papers + 50 held-out papers; all their questions.</w:t>
            </w:r>
          </w:p>
        </w:tc>
      </w:tr>
      <w:tr>
        <w:trPr>
          <w:cantSplit w:val="true"/>
        </w:trPr>
        <w:tc>
          <w:tcPr>
            <w:tcW w:w="4925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Models</w:t>
            </w:r>
          </w:p>
        </w:tc>
        <w:tc>
          <w:tcPr>
            <w:tcW w:w="4924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Embedding: BAAI/bge-small-en-v1.5. Answer generator: gemini-3.5-flash-lite (temperature 0).</w:t>
            </w:r>
          </w:p>
        </w:tc>
      </w:tr>
      <w:tr>
        <w:trPr>
          <w:cantSplit w:val="true"/>
        </w:trPr>
        <w:tc>
          <w:tcPr>
            <w:tcW w:w="4925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Baseline</w:t>
            </w:r>
          </w:p>
        </w:tc>
        <w:tc>
          <w:tcPr>
            <w:tcW w:w="4924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Overlapping fixed-length character chunks; dense similarity retrieval; top 10 results.</w:t>
            </w:r>
          </w:p>
        </w:tc>
      </w:tr>
      <w:tr>
        <w:trPr>
          <w:cantSplit w:val="true"/>
        </w:trPr>
        <w:tc>
          <w:tcPr>
            <w:tcW w:w="4925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Optimization</w:t>
            </w:r>
          </w:p>
        </w:tc>
        <w:tc>
          <w:tcPr>
            <w:tcW w:w="4924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At least 3 meaningful changes across at least 2 stages; seed 42 for randomized steps.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Development questions are for debugging and selecting optimizations. Held-out questions are for final comparison only. Each query has a target paper ID/title, but retrieval must search ALL papers in that split; do not filter the search to the target paper. Only evidence from the target paper counts as correct.</w:t>
      </w:r>
    </w:p>
    <w:p>
      <w:pPr>
        <w:pStyle w:val="Heading2"/>
        <w:rPr/>
      </w:pPr>
      <w:r>
        <w:rPr/>
        <w:t>Reproducible split and answer subset</w:t>
      </w:r>
    </w:p>
    <w:p>
      <w:pPr>
        <w:pStyle w:val="Normal"/>
        <w:rPr/>
      </w:pPr>
      <w:r>
        <w:rPr/>
        <w:t>U</w:t>
      </w:r>
      <w:r>
        <w:rPr/>
        <w:t>se the following code to select the same 80/50 papers and 20 answer questions as everyone else. The 20 are sampled from held-out questions, not from the papers themselves.</w:t>
      </w:r>
    </w:p>
    <w:tbl>
      <w:tblPr>
        <w:tblW w:w="9850" w:type="dxa"/>
        <w:jc w:val="center"/>
        <w:tblInd w:w="0" w:type="dxa"/>
        <w:tblLayout w:type="fixed"/>
        <w:tblCellMar>
          <w:top w:w="110" w:type="dxa"/>
          <w:left w:w="16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9850"/>
      </w:tblGrid>
      <w:tr>
        <w:trPr>
          <w:cantSplit w:val="true"/>
        </w:trPr>
        <w:tc>
          <w:tcPr>
            <w:tcW w:w="9850" w:type="dxa"/>
            <w:tcBorders/>
            <w:shd w:fill="F0F4F7"/>
          </w:tcPr>
          <w:p>
            <w:pPr>
              <w:pStyle w:val="CodeSample"/>
              <w:rPr/>
            </w:pPr>
            <w:r>
              <w:rPr/>
              <w:t>import random</w:t>
            </w:r>
          </w:p>
          <w:p>
            <w:pPr>
              <w:pStyle w:val="CodeSample"/>
              <w:rPr/>
            </w:pPr>
            <w:r>
              <w:rPr/>
              <w:t>from datasets import load_dataset</w:t>
            </w:r>
          </w:p>
          <w:p>
            <w:pPr>
              <w:pStyle w:val="CodeSample"/>
              <w:rPr/>
            </w:pPr>
            <w:r>
              <w:rPr/>
              <w:t>url = ("hf://datasets/allenai/qasper@0fbdb8edab3c45c9df13ed1e1cbb4d64e96dbd46/"</w:t>
            </w:r>
          </w:p>
          <w:p>
            <w:pPr>
              <w:pStyle w:val="CodeSample"/>
              <w:rPr/>
            </w:pPr>
            <w:r>
              <w:rPr/>
              <w:t xml:space="preserve">       </w:t>
            </w:r>
            <w:r>
              <w:rPr/>
              <w:t>"qasper/validation-00000-of-00001.parquet")</w:t>
            </w:r>
          </w:p>
          <w:p>
            <w:pPr>
              <w:pStyle w:val="CodeSample"/>
              <w:rPr/>
            </w:pPr>
            <w:r>
              <w:rPr/>
              <w:t>ds = load_dataset("parquet", data_files={"validation": url}, split="validation")</w:t>
            </w:r>
          </w:p>
          <w:p>
            <w:pPr>
              <w:pStyle w:val="CodeSample"/>
              <w:rPr/>
            </w:pPr>
            <w:r>
              <w:rPr/>
              <w:t>paper_ids = sorted(set(ds["id"]))</w:t>
            </w:r>
          </w:p>
          <w:p>
            <w:pPr>
              <w:pStyle w:val="CodeSample"/>
              <w:rPr/>
            </w:pPr>
            <w:r>
              <w:rPr/>
              <w:t>random.Random(42).shuffle(paper_ids)</w:t>
            </w:r>
          </w:p>
          <w:p>
            <w:pPr>
              <w:pStyle w:val="CodeSample"/>
              <w:rPr/>
            </w:pPr>
            <w:r>
              <w:rPr/>
              <w:t>build_ids, held_out_ids = paper_ids[:80], paper_ids[80:130]</w:t>
            </w:r>
          </w:p>
          <w:p>
            <w:pPr>
              <w:pStyle w:val="CodeSample"/>
              <w:rPr/>
            </w:pPr>
            <w:r>
              <w:rPr/>
            </w:r>
          </w:p>
          <w:p>
            <w:pPr>
              <w:pStyle w:val="CodeSample"/>
              <w:rPr/>
            </w:pPr>
            <w:r>
              <w:rPr/>
              <w:t>held = set(held_out_ids)</w:t>
            </w:r>
          </w:p>
          <w:p>
            <w:pPr>
              <w:pStyle w:val="CodeSample"/>
              <w:rPr/>
            </w:pPr>
            <w:r>
              <w:rPr/>
              <w:t>qids = sorted({str(qid) for paper in ds if paper["id"] in held</w:t>
            </w:r>
          </w:p>
          <w:p>
            <w:pPr>
              <w:pStyle w:val="CodeSample"/>
              <w:rPr/>
            </w:pPr>
            <w:r>
              <w:rPr/>
              <w:t xml:space="preserve">               </w:t>
            </w:r>
            <w:r>
              <w:rPr/>
              <w:t>for qid in (paper["qas"]["question_id"] if isinstance(paper["qas"], dict)</w:t>
            </w:r>
          </w:p>
          <w:p>
            <w:pPr>
              <w:pStyle w:val="CodeSample"/>
              <w:rPr/>
            </w:pPr>
            <w:r>
              <w:rPr/>
              <w:t xml:space="preserve">                           </w:t>
            </w:r>
            <w:r>
              <w:rPr/>
              <w:t>else [q["question_id"] for q in paper["qas"]])})</w:t>
            </w:r>
          </w:p>
          <w:p>
            <w:pPr>
              <w:pStyle w:val="CodeSample"/>
              <w:rPr/>
            </w:pPr>
            <w:r>
              <w:rPr/>
            </w:r>
          </w:p>
          <w:p>
            <w:pPr>
              <w:pStyle w:val="CodeSample"/>
              <w:rPr/>
            </w:pPr>
            <w:r>
              <w:rPr/>
            </w:r>
          </w:p>
          <w:p>
            <w:pPr>
              <w:pStyle w:val="CodeSample"/>
              <w:rPr/>
            </w:pPr>
            <w:r>
              <w:rPr/>
              <w:t>random.Random(42).shuffle(qids)</w:t>
            </w:r>
          </w:p>
          <w:p>
            <w:pPr>
              <w:pStyle w:val="CodeSample"/>
              <w:rPr/>
            </w:pPr>
            <w:r>
              <w:rPr/>
              <w:t>ANSWER_QIDS = set(qids[:20])</w:t>
            </w:r>
          </w:p>
        </w:tc>
      </w:tr>
    </w:tbl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2  What to implement</w:t>
      </w:r>
    </w:p>
    <w:p>
      <w:pPr>
        <w:pStyle w:val="Normal"/>
        <w:rPr/>
      </w:pPr>
      <w:r>
        <w:rPr>
          <w:b/>
        </w:rPr>
        <w:t xml:space="preserve">A. Baseline: </w:t>
      </w:r>
      <w:r>
        <w:rPr/>
        <w:t>Chunk and embed the development corpus; retrieve ten ranked chunks per question. Cache document embeddings and unchanged query embeddings.</w:t>
      </w:r>
    </w:p>
    <w:p>
      <w:pPr>
        <w:pStyle w:val="Normal"/>
        <w:rPr/>
      </w:pPr>
      <w:r>
        <w:rPr>
          <w:b/>
        </w:rPr>
        <w:t xml:space="preserve">B. Diagnosis: </w:t>
      </w:r>
      <w:r>
        <w:rPr/>
        <w:t>Inspect at least 10 poor development retrieval cases. Record question ID, observed problem, likely cause, and proposed fix. Focus on chunk boundaries, query mismatch, and weak/repetitive ranking; no generated answers are required here.</w:t>
      </w:r>
    </w:p>
    <w:p>
      <w:pPr>
        <w:pStyle w:val="Normal"/>
        <w:rPr/>
      </w:pPr>
      <w:r>
        <w:rPr>
          <w:b/>
        </w:rPr>
        <w:t xml:space="preserve">C. Optimizations: </w:t>
      </w:r>
      <w:r>
        <w:rPr/>
        <w:t>Choose A, B, C based on those failures. Test baseline+A, baseline+B, and baseline+C separately; then evaluate your chosen final combination.</w:t>
      </w:r>
    </w:p>
    <w:tbl>
      <w:tblPr>
        <w:tblW w:w="943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2878"/>
        <w:gridCol w:w="6553"/>
      </w:tblGrid>
      <w:tr>
        <w:trPr/>
        <w:tc>
          <w:tcPr>
            <w:tcW w:w="2878" w:type="dxa"/>
            <w:tcBorders/>
            <w:shd w:fill="2F6FED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>
                <w:rFonts w:ascii="URW Bookman" w:hAnsi="URW Bookman"/>
              </w:rPr>
            </w:pPr>
            <w:r>
              <w:rPr>
                <w:rFonts w:ascii="URW Bookman" w:hAnsi="URW Bookman"/>
                <w:b/>
                <w:color w:val="FFFFFF"/>
                <w:sz w:val="19"/>
              </w:rPr>
              <w:t>Area</w:t>
            </w:r>
          </w:p>
        </w:tc>
        <w:tc>
          <w:tcPr>
            <w:tcW w:w="6553" w:type="dxa"/>
            <w:tcBorders/>
            <w:shd w:fill="2F6FED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>
                <w:rFonts w:ascii="URW Bookman" w:hAnsi="URW Bookman"/>
              </w:rPr>
            </w:pPr>
            <w:r>
              <w:rPr>
                <w:rFonts w:ascii="URW Bookman" w:hAnsi="URW Bookman"/>
                <w:b/>
                <w:color w:val="FFFFFF"/>
                <w:sz w:val="19"/>
              </w:rPr>
              <w:t>Example ideas</w:t>
            </w:r>
          </w:p>
        </w:tc>
      </w:tr>
      <w:tr>
        <w:trPr/>
        <w:tc>
          <w:tcPr>
            <w:tcW w:w="2878" w:type="dxa"/>
            <w:tcBorders/>
            <w:shd w:fill="F5F7FB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>
                <w:rFonts w:ascii="URW Bookman" w:hAnsi="URW Bookman"/>
              </w:rPr>
            </w:pPr>
            <w:r>
              <w:rPr>
                <w:rFonts w:ascii="URW Bookman" w:hAnsi="URW Bookman"/>
                <w:b/>
                <w:color w:val="273142"/>
                <w:sz w:val="19"/>
              </w:rPr>
              <w:t>Ingestion</w:t>
            </w:r>
          </w:p>
        </w:tc>
        <w:tc>
          <w:tcPr>
            <w:tcW w:w="655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>
                <w:rFonts w:ascii="URW Bookman" w:hAnsi="URW Bookman"/>
              </w:rPr>
            </w:pPr>
            <w:r>
              <w:rPr>
                <w:rFonts w:ascii="URW Bookman" w:hAnsi="URW Bookman"/>
                <w:b w:val="false"/>
                <w:color w:val="273142"/>
                <w:sz w:val="19"/>
              </w:rPr>
              <w:t>Structure-aware chunking, boundary snapping, small-to-big retrieval, contextual headings.</w:t>
            </w:r>
          </w:p>
        </w:tc>
      </w:tr>
      <w:tr>
        <w:trPr/>
        <w:tc>
          <w:tcPr>
            <w:tcW w:w="2878" w:type="dxa"/>
            <w:tcBorders/>
            <w:shd w:fill="F5F7FB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>
                <w:rFonts w:ascii="URW Bookman" w:hAnsi="URW Bookman"/>
              </w:rPr>
            </w:pPr>
            <w:r>
              <w:rPr>
                <w:rFonts w:ascii="URW Bookman" w:hAnsi="URW Bookman"/>
                <w:b/>
                <w:color w:val="273142"/>
                <w:sz w:val="19"/>
              </w:rPr>
              <w:t>Query processing</w:t>
            </w:r>
          </w:p>
        </w:tc>
        <w:tc>
          <w:tcPr>
            <w:tcW w:w="655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>
                <w:rFonts w:ascii="URW Bookman" w:hAnsi="URW Bookman"/>
              </w:rPr>
            </w:pPr>
            <w:r>
              <w:rPr>
                <w:rFonts w:ascii="URW Bookman" w:hAnsi="URW Bookman"/>
                <w:b w:val="false"/>
                <w:color w:val="273142"/>
                <w:sz w:val="19"/>
              </w:rPr>
              <w:t>Rewriting, HyDE, multi-query retrieval, step-back queries.</w:t>
            </w:r>
          </w:p>
        </w:tc>
      </w:tr>
      <w:tr>
        <w:trPr/>
        <w:tc>
          <w:tcPr>
            <w:tcW w:w="2878" w:type="dxa"/>
            <w:tcBorders/>
            <w:shd w:fill="F5F7FB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>
                <w:rFonts w:ascii="URW Bookman" w:hAnsi="URW Bookman"/>
              </w:rPr>
            </w:pPr>
            <w:r>
              <w:rPr>
                <w:rFonts w:ascii="URW Bookman" w:hAnsi="URW Bookman"/>
                <w:b/>
                <w:color w:val="273142"/>
                <w:sz w:val="19"/>
              </w:rPr>
              <w:t>Retrieval</w:t>
            </w:r>
          </w:p>
        </w:tc>
        <w:tc>
          <w:tcPr>
            <w:tcW w:w="655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>
                <w:rFonts w:ascii="URW Bookman" w:hAnsi="URW Bookman"/>
              </w:rPr>
            </w:pPr>
            <w:r>
              <w:rPr>
                <w:rFonts w:ascii="URW Bookman" w:hAnsi="URW Bookman"/>
                <w:b w:val="false"/>
                <w:color w:val="273142"/>
                <w:sz w:val="19"/>
              </w:rPr>
              <w:t>Dense + BM25 fusion, different candidate-pool strategies, metadata filtering.</w:t>
            </w:r>
          </w:p>
        </w:tc>
      </w:tr>
      <w:tr>
        <w:trPr/>
        <w:tc>
          <w:tcPr>
            <w:tcW w:w="2878" w:type="dxa"/>
            <w:tcBorders/>
            <w:shd w:fill="F5F7FB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>
                <w:rFonts w:ascii="URW Bookman" w:hAnsi="URW Bookman"/>
              </w:rPr>
            </w:pPr>
            <w:r>
              <w:rPr>
                <w:rFonts w:ascii="URW Bookman" w:hAnsi="URW Bookman"/>
                <w:b/>
                <w:color w:val="273142"/>
                <w:sz w:val="19"/>
              </w:rPr>
              <w:t>Selection / ranking</w:t>
            </w:r>
          </w:p>
        </w:tc>
        <w:tc>
          <w:tcPr>
            <w:tcW w:w="655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>
                <w:rFonts w:ascii="URW Bookman" w:hAnsi="URW Bookman"/>
              </w:rPr>
            </w:pPr>
            <w:r>
              <w:rPr>
                <w:rFonts w:ascii="URW Bookman" w:hAnsi="URW Bookman"/>
                <w:b w:val="false"/>
                <w:color w:val="273142"/>
                <w:sz w:val="19"/>
              </w:rPr>
              <w:t>MMR, custom reranking, relevance thresholds, deduplication.</w:t>
            </w:r>
          </w:p>
        </w:tc>
      </w:tr>
      <w:tr>
        <w:trPr/>
        <w:tc>
          <w:tcPr>
            <w:tcW w:w="2878" w:type="dxa"/>
            <w:tcBorders/>
            <w:shd w:fill="F5F7FB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>
                <w:rFonts w:ascii="URW Bookman" w:hAnsi="URW Bookman"/>
              </w:rPr>
            </w:pPr>
            <w:r>
              <w:rPr>
                <w:rFonts w:ascii="URW Bookman" w:hAnsi="URW Bookman"/>
                <w:sz w:val="19"/>
              </w:rPr>
              <w:t>Generation</w:t>
            </w:r>
          </w:p>
        </w:tc>
        <w:tc>
          <w:tcPr>
            <w:tcW w:w="655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>
                <w:rFonts w:ascii="URW Bookman" w:hAnsi="URW Bookman"/>
              </w:rPr>
            </w:pPr>
            <w:r>
              <w:rPr>
                <w:rFonts w:ascii="URW Bookman" w:hAnsi="URW Bookman"/>
                <w:sz w:val="19"/>
              </w:rPr>
              <w:t>Grounded prompting, context ordering, citation behavior, abstention, or other controlled generation changes.</w:t>
            </w:r>
          </w:p>
        </w:tc>
      </w:tr>
    </w:tbl>
    <w:p>
      <w:pPr>
        <w:pStyle w:val="Normal"/>
        <w:rPr/>
      </w:pPr>
      <w:r>
        <w:rPr/>
        <w:t>These are examples, not mandatory choices.</w:t>
      </w:r>
    </w:p>
    <w:p>
      <w:pPr>
        <w:pStyle w:val="Heading1"/>
        <w:rPr/>
      </w:pPr>
      <w:r>
        <w:rPr/>
        <w:t>3  Evaluation plan</w:t>
      </w:r>
    </w:p>
    <w:tbl>
      <w:tblPr>
        <w:tblW w:w="9849" w:type="dxa"/>
        <w:jc w:val="center"/>
        <w:tblInd w:w="0" w:type="dxa"/>
        <w:tblLayout w:type="fixed"/>
        <w:tblCellMar>
          <w:top w:w="75" w:type="dxa"/>
          <w:left w:w="105" w:type="dxa"/>
          <w:bottom w:w="75" w:type="dxa"/>
          <w:right w:w="105" w:type="dxa"/>
        </w:tblCellMar>
        <w:tblLook w:val="04a0" w:noHBand="0" w:noVBand="1" w:firstColumn="1" w:lastRow="0" w:lastColumn="0" w:firstRow="1"/>
      </w:tblPr>
      <w:tblGrid>
        <w:gridCol w:w="3283"/>
        <w:gridCol w:w="3283"/>
        <w:gridCol w:w="3283"/>
      </w:tblGrid>
      <w:tr>
        <w:trPr>
          <w:tblHeader w:val="true"/>
          <w:cantSplit w:val="true"/>
        </w:trPr>
        <w:tc>
          <w:tcPr>
            <w:tcW w:w="3283" w:type="dxa"/>
            <w:tcBorders/>
            <w:shd w:fill="EAF0F5"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b/>
                <w:color w:val="173050"/>
                <w:sz w:val="18"/>
              </w:rPr>
              <w:t>Phase</w:t>
            </w:r>
          </w:p>
        </w:tc>
        <w:tc>
          <w:tcPr>
            <w:tcW w:w="3283" w:type="dxa"/>
            <w:tcBorders/>
            <w:shd w:fill="EAF0F5"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b/>
                <w:color w:val="173050"/>
                <w:sz w:val="18"/>
              </w:rPr>
              <w:t>Retrieval</w:t>
            </w:r>
          </w:p>
        </w:tc>
        <w:tc>
          <w:tcPr>
            <w:tcW w:w="3283" w:type="dxa"/>
            <w:tcBorders/>
            <w:shd w:fill="EAF0F5"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b/>
                <w:color w:val="173050"/>
                <w:sz w:val="18"/>
              </w:rPr>
              <w:t>Answer generation</w:t>
            </w:r>
          </w:p>
        </w:tc>
      </w:tr>
      <w:tr>
        <w:trPr>
          <w:cantSplit w:val="true"/>
        </w:trPr>
        <w:tc>
          <w:tcPr>
            <w:tcW w:w="3283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Development (80 papers)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All questions; baseline, A only, B only, C only, final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None required</w:t>
            </w:r>
          </w:p>
        </w:tc>
      </w:tr>
      <w:tr>
        <w:trPr>
          <w:cantSplit w:val="true"/>
        </w:trPr>
        <w:tc>
          <w:tcPr>
            <w:tcW w:w="3283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Held-out (50 papers)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All questions; baseline and final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Same 20 selected question IDs only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Retrieval metrics: Recall@5, Recall@10 (gold-evidence coverage), and MRR@10 (first qualifying evidence rank). Each gold paragraph counts when its source spans cover at least 80% of its tokens. Answers are scored separately with normalized Answer F1 and false-answer rate on only the 20-question sample.</w:t>
      </w:r>
    </w:p>
    <w:p>
      <w:pPr>
        <w:pStyle w:val="SmallNote"/>
        <w:rPr/>
      </w:pPr>
      <w:r>
        <w:rPr/>
        <w:t>The 20-question sample is small: report how many gold-unanswerable cases it contains. If there are none, false-answer rate is not defined; otherwise treat that rate as exploratory, not a reliable ranking metric.</w:t>
      </w:r>
    </w:p>
    <w:p>
      <w:pPr>
        <w:pStyle w:val="Normal"/>
        <w:rPr/>
      </w:pPr>
      <w:r>
        <w:rPr/>
        <w:t>Report the latency and LLM calls of the work actually performed. For questions without generation, latency is retrieval-only. For the selected 20, it includes retrieval and generation. Report separate medians for these two scopes rather than mixing them.</w:t>
      </w:r>
    </w:p>
    <w:p>
      <w:pPr>
        <w:pStyle w:val="Heading2"/>
        <w:rPr/>
      </w:pPr>
      <w:r>
        <w:rPr/>
        <w:t>Minimum independent ablation table</w:t>
      </w:r>
    </w:p>
    <w:tbl>
      <w:tblPr>
        <w:tblW w:w="9852" w:type="dxa"/>
        <w:jc w:val="center"/>
        <w:tblInd w:w="0" w:type="dxa"/>
        <w:tblLayout w:type="fixed"/>
        <w:tblCellMar>
          <w:top w:w="75" w:type="dxa"/>
          <w:left w:w="105" w:type="dxa"/>
          <w:bottom w:w="75" w:type="dxa"/>
          <w:right w:w="105" w:type="dxa"/>
        </w:tblCellMar>
        <w:tblLook w:val="04a0" w:noHBand="0" w:noVBand="1" w:firstColumn="1" w:lastRow="0" w:lastColumn="0" w:firstRow="1"/>
      </w:tblPr>
      <w:tblGrid>
        <w:gridCol w:w="1642"/>
        <w:gridCol w:w="1641"/>
        <w:gridCol w:w="1643"/>
        <w:gridCol w:w="1642"/>
        <w:gridCol w:w="1641"/>
        <w:gridCol w:w="1642"/>
      </w:tblGrid>
      <w:tr>
        <w:trPr>
          <w:tblHeader w:val="true"/>
          <w:cantSplit w:val="true"/>
        </w:trPr>
        <w:tc>
          <w:tcPr>
            <w:tcW w:w="1642" w:type="dxa"/>
            <w:tcBorders/>
            <w:shd w:fill="EAF0F5"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b/>
                <w:color w:val="173050"/>
                <w:sz w:val="18"/>
              </w:rPr>
              <w:t>Configuration</w:t>
            </w:r>
          </w:p>
        </w:tc>
        <w:tc>
          <w:tcPr>
            <w:tcW w:w="1641" w:type="dxa"/>
            <w:tcBorders/>
            <w:shd w:fill="EAF0F5"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b/>
                <w:color w:val="173050"/>
                <w:sz w:val="18"/>
              </w:rPr>
              <w:t>R@5</w:t>
            </w:r>
          </w:p>
        </w:tc>
        <w:tc>
          <w:tcPr>
            <w:tcW w:w="1643" w:type="dxa"/>
            <w:tcBorders/>
            <w:shd w:fill="EAF0F5"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b/>
                <w:color w:val="173050"/>
                <w:sz w:val="18"/>
              </w:rPr>
              <w:t>R@10</w:t>
            </w:r>
          </w:p>
        </w:tc>
        <w:tc>
          <w:tcPr>
            <w:tcW w:w="1642" w:type="dxa"/>
            <w:tcBorders/>
            <w:shd w:fill="EAF0F5"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b/>
                <w:color w:val="173050"/>
                <w:sz w:val="18"/>
              </w:rPr>
              <w:t>MRR@10</w:t>
            </w:r>
          </w:p>
        </w:tc>
        <w:tc>
          <w:tcPr>
            <w:tcW w:w="1641" w:type="dxa"/>
            <w:tcBorders/>
            <w:shd w:fill="EAF0F5"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b/>
                <w:color w:val="173050"/>
                <w:sz w:val="18"/>
              </w:rPr>
              <w:t>Retrieval latency</w:t>
            </w:r>
          </w:p>
        </w:tc>
        <w:tc>
          <w:tcPr>
            <w:tcW w:w="1642" w:type="dxa"/>
            <w:tcBorders/>
            <w:shd w:fill="EAF0F5"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b/>
                <w:color w:val="173050"/>
                <w:sz w:val="18"/>
              </w:rPr>
              <w:t>LLM calls/q</w:t>
            </w:r>
          </w:p>
        </w:tc>
      </w:tr>
      <w:tr>
        <w:trPr>
          <w:cantSplit w:val="true"/>
        </w:trPr>
        <w:tc>
          <w:tcPr>
            <w:tcW w:w="1642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Baseline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w="1642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Baseline + A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w="1642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Baseline + B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w="1642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Baseline + C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w="1642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Final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sz w:val="18"/>
              </w:rPr>
              <w:t>—</w:t>
            </w:r>
          </w:p>
        </w:tc>
      </w:tr>
    </w:tbl>
    <w:p>
      <w:pPr>
        <w:pStyle w:val="Heading1"/>
        <w:spacing w:before="0" w:after="140"/>
        <w:rPr/>
      </w:pPr>
      <w:r>
        <w:rPr/>
      </w:r>
    </w:p>
    <w:p>
      <w:pPr>
        <w:pStyle w:val="Heading1"/>
        <w:spacing w:before="0" w:after="140"/>
        <w:rPr/>
      </w:pPr>
      <w:r>
        <w:rPr/>
        <w:t>4  JSONL output and submission</w:t>
      </w:r>
    </w:p>
    <w:p>
      <w:pPr>
        <w:pStyle w:val="Normal"/>
        <w:rPr/>
      </w:pPr>
      <w:r>
        <w:rPr/>
        <w:t>Submit at least seven files: dev_baseline.jsonl, dev_A.jsonl, dev_B.jsonl, dev_C.jsonl, dev_final.jsonl, heldout_baseline.jsonl, and heldout_final.jsonl inside results/ folder. Each file has one record per question in its split; do not submit gold answers.</w:t>
      </w:r>
    </w:p>
    <w:p>
      <w:pPr>
        <w:pStyle w:val="Normal"/>
        <w:rPr/>
      </w:pPr>
      <w:r>
        <w:rPr/>
        <w:t>Every record: question_id, target_paper_id, retrieved, answer, abstained, latency_ms, llm_calls. Each retrieved chunk has rank, chunk_id, paper_id, text, source_spans and optional score. Submit exactly 10 unique chunks ranked 1–10; the combined text length of the ten chunks must be at most 12,000 characters.</w:t>
      </w:r>
    </w:p>
    <w:p>
      <w:pPr>
        <w:pStyle w:val="Normal"/>
        <w:rPr/>
      </w:pPr>
      <w:r>
        <w:rPr/>
        <w:t>source_spans must point into the original paper: use paragraph IDs like "s0:p4" (section 0, paragraph 4) or "abstract", with zero-based character offsets start (inclusive) and end (exclusive). Do not use a vague "p4" ID.</w:t>
      </w:r>
    </w:p>
    <w:tbl>
      <w:tblPr>
        <w:tblW w:w="9850" w:type="dxa"/>
        <w:jc w:val="center"/>
        <w:tblInd w:w="0" w:type="dxa"/>
        <w:tblLayout w:type="fixed"/>
        <w:tblCellMar>
          <w:top w:w="110" w:type="dxa"/>
          <w:left w:w="160" w:type="dxa"/>
          <w:bottom w:w="110" w:type="dxa"/>
          <w:right w:w="140" w:type="dxa"/>
        </w:tblCellMar>
        <w:tblLook w:val="04a0" w:noHBand="0" w:noVBand="1" w:firstColumn="1" w:lastRow="0" w:lastColumn="0" w:firstRow="1"/>
      </w:tblPr>
      <w:tblGrid>
        <w:gridCol w:w="9850"/>
      </w:tblGrid>
      <w:tr>
        <w:trPr>
          <w:cantSplit w:val="true"/>
        </w:trPr>
        <w:tc>
          <w:tcPr>
            <w:tcW w:w="9850" w:type="dxa"/>
            <w:tcBorders/>
            <w:shd w:fill="F0F4F7"/>
          </w:tcPr>
          <w:p>
            <w:pPr>
              <w:pStyle w:val="CodeSample"/>
              <w:rPr/>
            </w:pPr>
            <w:r>
              <w:rPr/>
              <w:t>{</w:t>
            </w:r>
          </w:p>
          <w:p>
            <w:pPr>
              <w:pStyle w:val="CodeSample"/>
              <w:rPr/>
            </w:pPr>
            <w:r>
              <w:rPr/>
              <w:t xml:space="preserve">  </w:t>
            </w:r>
            <w:r>
              <w:rPr/>
              <w:t>"question_id": "q-example", "target_paper_id": "paper-17",</w:t>
            </w:r>
          </w:p>
          <w:p>
            <w:pPr>
              <w:pStyle w:val="CodeSample"/>
              <w:rPr/>
            </w:pPr>
            <w:r>
              <w:rPr/>
              <w:t xml:space="preserve">  </w:t>
            </w:r>
            <w:r>
              <w:rPr/>
              <w:t>"retrieved": [{"rank": 1, "chunk_id": "paper-17:c12", "paper_id": "paper-17",</w:t>
            </w:r>
          </w:p>
          <w:p>
            <w:pPr>
              <w:pStyle w:val="CodeSample"/>
              <w:rPr/>
            </w:pPr>
            <w:r>
              <w:rPr/>
              <w:t xml:space="preserve">    </w:t>
            </w:r>
            <w:r>
              <w:rPr/>
              <w:t>"score": 0.82, "text": "The authors used dropout.",</w:t>
            </w:r>
          </w:p>
          <w:p>
            <w:pPr>
              <w:pStyle w:val="CodeSample"/>
              <w:rPr/>
            </w:pPr>
            <w:r>
              <w:rPr/>
              <w:t xml:space="preserve">    </w:t>
            </w:r>
            <w:r>
              <w:rPr/>
              <w:t>"source_spans": [{"paragraph_id": "s0:p4", "start": 0, "end": 25}]}],</w:t>
            </w:r>
          </w:p>
          <w:p>
            <w:pPr>
              <w:pStyle w:val="CodeSample"/>
              <w:rPr/>
            </w:pPr>
            <w:r>
              <w:rPr/>
              <w:t xml:space="preserve">  </w:t>
            </w:r>
            <w:r>
              <w:rPr/>
              <w:t>"answer": null, "abstained": null,</w:t>
            </w:r>
          </w:p>
          <w:p>
            <w:pPr>
              <w:pStyle w:val="CodeSample"/>
              <w:rPr/>
            </w:pPr>
            <w:r>
              <w:rPr/>
              <w:t xml:space="preserve">  </w:t>
            </w:r>
            <w:r>
              <w:rPr/>
              <w:t>"latency_ms": 180, "llm_calls": 0</w:t>
            </w:r>
          </w:p>
          <w:p>
            <w:pPr>
              <w:pStyle w:val="CodeSample"/>
              <w:rPr/>
            </w:pPr>
            <w:r>
              <w:rPr/>
              <w:t>}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SmallNote"/>
        <w:rPr/>
      </w:pPr>
      <w:r>
        <w:rPr/>
        <w:t>Illustration only: the actual retrieved list must contain ten chunks. For all development questions and unselected held-out questions, use JSON null for both answer and abstained. For the selected 20, submit an answer string and boolean abstained. Deliberate refusal: answer="" and abstained=true; otherwise nonempty answer and abstained=false. I limited to 20 questions because of llm call cost.</w:t>
      </w:r>
    </w:p>
    <w:p>
      <w:pPr>
        <w:pStyle w:val="Heading2"/>
        <w:rPr/>
      </w:pPr>
      <w:r>
        <w:rPr/>
        <w:t>Implementation and reporting rules</w:t>
      </w:r>
    </w:p>
    <w:p>
      <w:pPr>
        <w:pStyle w:val="Normal"/>
        <w:rPr/>
      </w:pPr>
      <w:r>
        <w:rPr/>
        <w:t>Allowed: pretrained models, FAISS/NumPy vector search, standard utilities. Implement each chosen optimization yourself; if you use BM25, implement its tokenization, document frequencies, IDF and scoring rather than importing rank_bm25 or equivalent. LLM-dependent retrieval optimizations are optional; record their calls and cost.</w:t>
      </w:r>
    </w:p>
    <w:p>
      <w:pPr>
        <w:pStyle w:val="Normal"/>
        <w:rPr/>
      </w:pPr>
      <w:r>
        <w:rPr/>
        <w:t>Submit code/README with settings and reproducible switches, the seven JSONL files, a 10-question failure table, the ablation and held-out metric tables, and a short reflection on improvements, failed trials and quality/cost trade-offs. Do not tune on held-out scores.</w:t>
      </w:r>
    </w:p>
    <w:p>
      <w:pPr>
        <w:pStyle w:val="Normal"/>
        <w:spacing w:before="0" w:after="120"/>
        <w:rPr/>
      </w:pPr>
      <w:r>
        <w:rPr/>
        <w:t>Write clean and modularized code. You are also expected to clearly understand the theoretical aspect of each optimizations.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95" w:right="1195" w:gutter="0" w:header="0" w:top="1008" w:footer="36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URW Bookman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5B6673"/>
        <w:sz w:val="16"/>
      </w:rPr>
      <w:t>RAG Optimization  |  Practical Task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5B6673"/>
        <w:sz w:val="16"/>
      </w:rPr>
      <w:t>RAG Optimization  |  Practical Task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69" w:before="0" w:after="120"/>
      <w:jc w:val="left"/>
    </w:pPr>
    <w:rPr>
      <w:rFonts w:ascii="Aptos" w:hAnsi="Aptos" w:eastAsia="ＭＳ 明朝" w:cs=""/>
      <w:color w:val="232E3D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60" w:after="14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730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40" w:after="8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D62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120"/>
      <w:contextualSpacing/>
    </w:pPr>
    <w:rPr>
      <w:rFonts w:ascii="Calibri" w:hAnsi="Calibri" w:eastAsia="" w:cs="" w:asciiTheme="majorHAnsi" w:cstheme="majorBidi" w:eastAsiaTheme="majorEastAsia" w:hAnsiTheme="majorHAnsi"/>
      <w:b/>
      <w:color w:val="173050"/>
      <w:spacing w:val="5"/>
      <w:kern w:val="2"/>
      <w:sz w:val="4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mallNote" w:customStyle="1">
    <w:name w:val="Small Note"/>
    <w:basedOn w:val="Normal"/>
    <w:qFormat/>
    <w:pPr>
      <w:spacing w:before="0" w:after="100"/>
    </w:pPr>
    <w:rPr>
      <w:color w:val="5B6673"/>
      <w:sz w:val="18"/>
    </w:rPr>
  </w:style>
  <w:style w:type="paragraph" w:styleId="CodeSample" w:customStyle="1">
    <w:name w:val="Code Sample"/>
    <w:basedOn w:val="Normal"/>
    <w:qFormat/>
    <w:pPr>
      <w:spacing w:lineRule="auto" w:line="240" w:before="0" w:after="0"/>
    </w:pPr>
    <w:rPr>
      <w:rFonts w:ascii="Liberation Mono" w:hAnsi="Liberation Mono"/>
      <w:sz w:val="17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LibreOffice/25.2.3.2$Linux_X86_64 LibreOffice_project/520$Build-2</Application>
  <AppVersion>15.0000</AppVersion>
  <Pages>4</Pages>
  <Words>878</Words>
  <Characters>5761</Characters>
  <CharactersWithSpaces>6621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2026-10-10T15:18:00Z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