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DA EQUIPE · INSTRUMENTO TÉCNICO</w:t>
      </w:r>
    </w:p>
    <w:p>
      <w:pPr>
        <w:jc w:val="center"/>
      </w:pPr>
      <w:r>
        <w:rPr>
          <w:b/>
          <w:color w:val="1B3A5B"/>
          <w:sz w:val="32"/>
        </w:rPr>
        <w:t>75 — Rendimentos Perdidos sobre o Débito de Ari</w:t>
      </w:r>
    </w:p>
    <w:p>
      <w:pPr>
        <w:jc w:val="center"/>
      </w:pPr>
      <w:r>
        <w:rPr>
          <w:i/>
          <w:sz w:val="20"/>
        </w:rPr>
        <w:t>Análise de custo de oportunidade do credor (lucros cessantes · CC art. 402-403) · base 30/06/2026</w:t>
      </w:r>
    </w:p>
    <w:p/>
    <w:p>
      <w:pPr>
        <w:pStyle w:val="Heading2"/>
      </w:pPr>
      <w:r>
        <w:rPr>
          <w:color w:val="1B3A5B"/>
        </w:rPr>
        <w:t>I — Princípio do cálculo</w:t>
      </w:r>
    </w:p>
    <w:p>
      <w:r>
        <w:rPr>
          <w:sz w:val="20"/>
        </w:rPr>
        <w:t>Juros compostos aplicados sobre o DÉBITO MENSAL DE ARI (devido − pago, piso zero), capitalizados da data de vencimento (dia 10 do mês de competência · fls. 400 dos autos) até 30/06/2026. NÃO se calcula sobre o resgate do Plano de Vida e Previdência da titular (Doc 72) para evitar dupla contagem.</w:t>
      </w:r>
    </w:p>
    <w:p>
      <w:pPr>
        <w:pStyle w:val="Heading2"/>
      </w:pPr>
      <w:r>
        <w:rPr>
          <w:color w:val="1B3A5B"/>
        </w:rPr>
        <w:t>II — Benchmarks aplicados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Taxa mensal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Anual equiv.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Natureza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Poupança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0,55%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6,80%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Renda fixa conservadora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CDI / SELIC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0,93%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11,75%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Renda fixa moderada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Fundo Premium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1,05%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13,35%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Renda fixa longo prazo</w:t>
            </w:r>
          </w:p>
        </w:tc>
      </w:tr>
    </w:tbl>
    <w:p/>
    <w:p>
      <w:pPr>
        <w:pStyle w:val="Heading2"/>
      </w:pPr>
      <w:r>
        <w:rPr>
          <w:color w:val="1B3A5B"/>
        </w:rPr>
        <w:t>III — Cálculo mensal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Mês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Débito (R$)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Idade (m)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Rend. Poup.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Rend. CDI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Rend. Fundo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01/2025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17,67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5.281,71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9.226,69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10.510,08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02/2025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16,67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4.951,87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8.632,73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9.821,67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03/2025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15,67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4.624,03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8.044,32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9.140,46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04/2025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14,67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4.298,18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7.461,42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8.466,49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05/2025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13,67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3.974,32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6.883,98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7.799,79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06/2025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12,67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3.652,43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6.311,97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7.140,39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07/2025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11,67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3.332,52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5.745,33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6.488,31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08/2025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3.014,58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5.184,01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5.843,59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09/2025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9,67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2.698,61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4.627,97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5.206,25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8,67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2.384,59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4.077,17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4.576,31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11/2025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7,67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2.072,53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3.531,55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3.953,80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12/2025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6,67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1.762,40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2.991,09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3.338,75</w:t>
            </w:r>
          </w:p>
        </w:tc>
      </w:tr>
      <w:tr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01/2026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5,67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02/2026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52.120,00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1.359,68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2.291,28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2.553,15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03/2026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52.120,00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1.064,07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1.788,23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1.991,06</w:t>
            </w:r>
          </w:p>
        </w:tc>
      </w:tr>
      <w:tr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04/2026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2,67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05/2026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21.220,00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1,67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194,98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329,99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373,14</w:t>
            </w:r>
          </w:p>
        </w:tc>
      </w:tr>
      <w:tr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06/2026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21.220,00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0,67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77,69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131,79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148,93</w:t>
            </w:r>
          </w:p>
        </w:tc>
      </w:tr>
      <w:tr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764.776,00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—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45.456,20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78.600,90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89.375,31</w:t>
            </w:r>
          </w:p>
        </w:tc>
      </w:tr>
    </w:tbl>
    <w:p/>
    <w:p>
      <w:pPr>
        <w:pStyle w:val="Heading2"/>
      </w:pPr>
      <w:r>
        <w:rPr>
          <w:color w:val="1B3A5B"/>
        </w:rPr>
        <w:t>IV — Síntese executiva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R$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Débito principal de Ari (não pago)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764.776,00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Rend. perdido @ Poupança (0,55% a.m.)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45.456,20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Rend. perdido @ CDI/SELIC (0,93% a.m.)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78.600,90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Rend. perdido @ Fundo Premium (1,05% a.m.)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89.375,31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TOTAL dívida + rend. @ Poupança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810.232,20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TOTAL dívida + rend. @ CDI/SELIC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843.376,90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TOTAL dívida + rend. @ Fundo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854.151,31</w:t>
            </w:r>
          </w:p>
        </w:tc>
      </w:tr>
    </w:tbl>
    <w:p/>
    <w:p>
      <w:pPr>
        <w:pStyle w:val="Heading2"/>
      </w:pPr>
      <w:r>
        <w:rPr>
          <w:color w:val="1B3A5B"/>
        </w:rPr>
        <w:t>V — Achados forenses</w:t>
      </w:r>
    </w:p>
    <w:p>
      <w:r>
        <w:rPr>
          <w:b/>
          <w:color w:val="B00020"/>
          <w:sz w:val="20"/>
        </w:rPr>
        <w:t xml:space="preserve">AF-1 · CUSTO DE OPORTUNIDADE — </w:t>
      </w:r>
      <w:r>
        <w:rPr>
          <w:sz w:val="20"/>
        </w:rPr>
        <w:t>rendimento perdido varia entre R$ 45,5k (poupança) e R$ 89,4k (fundo premium). CDI/SELIC = R$ 78.600,90 (benchmark mais defensável).</w:t>
      </w:r>
    </w:p>
    <w:p>
      <w:r>
        <w:rPr>
          <w:b/>
          <w:color w:val="B00020"/>
          <w:sz w:val="20"/>
        </w:rPr>
        <w:t xml:space="preserve">AF-2 · DANO FINANCEIRO TOTAL — </w:t>
      </w:r>
      <w:r>
        <w:rPr>
          <w:sz w:val="20"/>
        </w:rPr>
        <w:t>débito R$ 764.776 + rend. CDI R$ 78.601 = R$ 843.376,90 a 30/06/2026 — agravamento de 10,28% sobre a dívida nominal.</w:t>
      </w:r>
    </w:p>
    <w:p>
      <w:r>
        <w:rPr>
          <w:b/>
          <w:color w:val="B00020"/>
          <w:sz w:val="20"/>
        </w:rPr>
        <w:t xml:space="preserve">AF-3 · CONCENTRAÇÃO DO PASSIVO — </w:t>
      </w:r>
      <w:r>
        <w:rPr>
          <w:sz w:val="20"/>
        </w:rPr>
        <w:t>12 meses de 2025 = R$ 618.096 de débito principal · 93% do rendimento perdido total (CDI).</w:t>
      </w:r>
    </w:p>
    <w:p>
      <w:r>
        <w:rPr>
          <w:b/>
          <w:color w:val="B00020"/>
          <w:sz w:val="20"/>
        </w:rPr>
        <w:t xml:space="preserve">AF-4 · DUPLA PERDA NÃO COMPUTADA — </w:t>
      </w:r>
      <w:r>
        <w:rPr>
          <w:sz w:val="20"/>
        </w:rPr>
        <w:t>Millena também resgatou R$ 677.857,67 do plano próprio (Doc 72) para custeio — não somado aqui para evitar dupla contagem, mas convém requerê-lo como dano emergente separado.</w:t>
      </w:r>
    </w:p>
    <w:p>
      <w:r>
        <w:rPr>
          <w:b/>
          <w:color w:val="B00020"/>
          <w:sz w:val="20"/>
        </w:rPr>
        <w:t xml:space="preserve">AF-5 · SIMETRIA COM Doc 74 — </w:t>
      </w:r>
      <w:r>
        <w:rPr>
          <w:sz w:val="20"/>
        </w:rPr>
        <w:t>Doc 74 calculou R$ 831.090,53 via IPCA + juros 1% a.m. Este Doc 75 (CDI) chega a R$ 843.376,90 — métodos confirmam ordem de grandeza.</w:t>
      </w:r>
    </w:p>
    <w:p/>
    <w:p>
      <w:pPr>
        <w:pStyle w:val="Heading2"/>
      </w:pPr>
      <w:r>
        <w:rPr>
          <w:color w:val="1B3A5B"/>
        </w:rPr>
        <w:t>Reserva técnica</w:t>
      </w:r>
    </w:p>
    <w:p>
      <w:r>
        <w:rPr>
          <w:i/>
          <w:color w:val="444444"/>
          <w:sz w:val="18"/>
        </w:rPr>
        <w:t>Lucros cessantes presumidos (CC 402-403 + STJ AgInt no AREsp 1.418.847/SP). Taxas de mercado aproximadas; para fim executório, usar séries oficiais (SELIC/B3/BACEN). NÃO inclui (i) rendimento perdido sobre resgate de Previdência da titular (Doc 72 · R$ 677,8k), por ser categoria distinta; (ii) atualização IPCA já tratada no Doc 74. Decisão de 11/05/2023 (fls. 400) fixou alimentos provisionais para os filhos em CINCO salários mínimos — verificar se houve revisão posterior que sustente os parâmetros aqui adotados (R$ 18.400 fixo Millena + R$ 24.000 crianças). Instrumento técnico de apoio (CPC art. 472), não substitui laudo CRC nem perícia oficial. Patronos: Dra. Michele P. Hilgenberg (OAB/SC 41.607) + Dr. Luiz Carlos Guieseler Junior (OAB/PR 44.937) · procuração matriz 03/06/2026 · fls. 1065 da guarda · CPC art. 112. Sucede o Doc 74 como Doc 75.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