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B"/>
          <w:sz w:val="24"/>
        </w:rPr>
        <w:t>DOCUMENTO 32 · PROTOCOLO PERICIAL PARA VALIDAÇÃO DA ADULTERAÇÃO ALEGADA</w:t>
        <w:br/>
        <w:t>Peça 38 (185 págs) · AI 2231738-85.2023 · fls. 1063</w:t>
      </w:r>
    </w:p>
    <w:p>
      <w:r>
        <w:rPr>
          <w:rFonts w:ascii="Georgia" w:hAnsi="Georgia"/>
          <w:i/>
          <w:sz w:val="20"/>
        </w:rPr>
        <w:t>Roteiro pericial preparado para execução imediata assim que o PDF 38 for anexado à sessão.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1B3A5B"/>
        </w:rPr>
        <w:t>I. Ressalva crítica</w:t>
      </w:r>
    </w:p>
    <w:p>
      <w:r>
        <w:rPr>
          <w:rFonts w:ascii="Georgia" w:hAnsi="Georgia"/>
          <w:b/>
          <w:sz w:val="21"/>
        </w:rPr>
        <w:t>O PDF 38 (185 págs, AI 2231738-85.2023) NÃO ESTÁ disponível nos uploads desta sessão. A varredura completa localizou apenas peças 32, 33, 35 e 36 do mesmo processo, já auditadas no Documento 31. O PDF de maior contagem disponível tem 86 págs (declarações de IR).</w:t>
      </w:r>
    </w:p>
    <w:p>
      <w:r>
        <w:rPr>
          <w:rFonts w:ascii="Georgia" w:hAnsi="Georgia"/>
          <w:sz w:val="21"/>
        </w:rPr>
        <w:t>Para a auditoria probatória, é necessário anexar o PDF 38 à sessão.</w:t>
      </w:r>
    </w:p>
    <w:p>
      <w:pPr>
        <w:pStyle w:val="Heading1"/>
      </w:pPr>
      <w:r>
        <w:rPr>
          <w:rFonts w:ascii="Helvetica" w:hAnsi="Helvetica"/>
          <w:color w:val="1B3A5B"/>
        </w:rPr>
        <w:t>II. Hipóteses probatórias a testar</w:t>
      </w:r>
    </w:p>
    <w:p>
      <w:r>
        <w:rPr>
          <w:rFonts w:ascii="Georgia" w:hAnsi="Georgia"/>
          <w:sz w:val="21"/>
        </w:rPr>
        <w:t>H1 — Adulteração intra-peça: fls. 1063 no AI difere da fls. 1063 original do 1º grau.</w:t>
      </w:r>
    </w:p>
    <w:p>
      <w:r>
        <w:rPr>
          <w:rFonts w:ascii="Georgia" w:hAnsi="Georgia"/>
          <w:sz w:val="21"/>
        </w:rPr>
        <w:t>H2 — Substituição/inversão: a fls. 1063 do AI corresponde a outro documento/fragmento.</w:t>
      </w:r>
    </w:p>
    <w:p>
      <w:r>
        <w:rPr>
          <w:rFonts w:ascii="Georgia" w:hAnsi="Georgia"/>
          <w:sz w:val="21"/>
        </w:rPr>
        <w:t>H3 — Reformatação editorial: alterações de layout sem mudança substantiva.</w:t>
      </w:r>
    </w:p>
    <w:p>
      <w:r>
        <w:rPr>
          <w:rFonts w:ascii="Georgia" w:hAnsi="Georgia"/>
          <w:sz w:val="21"/>
        </w:rPr>
        <w:t>H0 — Sem adulteração: divergência por artefato de digitalização/OCR/empacotamento eSAJ.</w:t>
      </w:r>
    </w:p>
    <w:p>
      <w:pPr>
        <w:pStyle w:val="Heading1"/>
      </w:pPr>
      <w:r>
        <w:rPr>
          <w:rFonts w:ascii="Helvetica" w:hAnsi="Helvetica"/>
          <w:color w:val="1B3A5B"/>
        </w:rPr>
        <w:t>III. Roteiro pericial (a executar no PDF 38)</w:t>
      </w:r>
    </w:p>
    <w:p>
      <w:pPr>
        <w:pStyle w:val="Heading2"/>
      </w:pPr>
      <w:r>
        <w:rPr>
          <w:rFonts w:ascii="Helvetica" w:hAnsi="Helvetica"/>
          <w:color w:val="1B3A5B"/>
        </w:rPr>
        <w:t>III.1. Metadados base</w:t>
      </w:r>
    </w:p>
    <w:p>
      <w:r>
        <w:rPr>
          <w:rFonts w:ascii="Georgia" w:hAnsi="Georgia"/>
          <w:sz w:val="21"/>
        </w:rPr>
        <w:t>pdfinfo (Producer, Creator, dates, páginas, criptografia); MD5/SHA-256; contagem %PDF-, %%EOF, startxref, trailer, /Info; verificar incremental updates (múltiplos %%EOF); detectar /AcroForm, /Type/Sig, /Subtype/Stamp, /Subtype/FreeText, /Type/OCG, /JS.</w:t>
      </w:r>
    </w:p>
    <w:p>
      <w:pPr>
        <w:pStyle w:val="Heading2"/>
      </w:pPr>
      <w:r>
        <w:rPr>
          <w:rFonts w:ascii="Helvetica" w:hAnsi="Helvetica"/>
          <w:color w:val="1B3A5B"/>
        </w:rPr>
        <w:t>III.2. Localização da fls. 1063</w:t>
      </w:r>
    </w:p>
    <w:p>
      <w:r>
        <w:rPr>
          <w:rFonts w:ascii="Georgia" w:hAnsi="Georgia"/>
          <w:sz w:val="21"/>
        </w:rPr>
        <w:t>pdftotext -layout + regex fls\.\s*1063; se imagem: pdftoppm -r 300 + tesseract -l por; capturar código eSAJ, protocolo WPIN, signatário; verificar folhas vizinhas 1061-1065.</w:t>
      </w:r>
    </w:p>
    <w:p>
      <w:pPr>
        <w:pStyle w:val="Heading2"/>
      </w:pPr>
      <w:r>
        <w:rPr>
          <w:rFonts w:ascii="Helvetica" w:hAnsi="Helvetica"/>
          <w:color w:val="1B3A5B"/>
        </w:rPr>
        <w:t>III.3. Cruzamento com pasta digital 1º grau</w:t>
      </w:r>
    </w:p>
    <w:p>
      <w:r>
        <w:rPr>
          <w:rFonts w:ascii="Georgia" w:hAnsi="Georgia"/>
          <w:sz w:val="21"/>
        </w:rPr>
        <w:t>Comparação pixel-a-pixel via imagemagick compare -metric AE; cruzar código eSAJ, WPIN, signatário, datas de protocolo e liberação, conteúdo textual, hash da imagem.</w:t>
      </w:r>
    </w:p>
    <w:p>
      <w:pPr>
        <w:pStyle w:val="Heading2"/>
      </w:pPr>
      <w:r>
        <w:rPr>
          <w:rFonts w:ascii="Helvetica" w:hAnsi="Helvetica"/>
          <w:color w:val="1B3A5B"/>
        </w:rPr>
        <w:t>III.4. Empacotamento e camadas</w:t>
      </w:r>
    </w:p>
    <w:p>
      <w:r>
        <w:rPr>
          <w:rFonts w:ascii="Georgia" w:hAnsi="Georgia"/>
          <w:sz w:val="21"/>
        </w:rPr>
        <w:t>Inspeção /Pages tree; procurar /Type/Annot e /Subtype/Stamp sobrepostos; comparar Form XObjects das vizinhas; PDF IDs distintos para criação vs. modificação.</w:t>
      </w:r>
    </w:p>
    <w:p>
      <w:pPr>
        <w:pStyle w:val="Heading2"/>
      </w:pPr>
      <w:r>
        <w:rPr>
          <w:rFonts w:ascii="Helvetica" w:hAnsi="Helvetica"/>
          <w:color w:val="1B3A5B"/>
        </w:rPr>
        <w:t>III.5. Triangulação semântica</w:t>
      </w:r>
    </w:p>
    <w:p>
      <w:r>
        <w:rPr>
          <w:rFonts w:ascii="Georgia" w:hAnsi="Georgia"/>
          <w:sz w:val="21"/>
        </w:rPr>
        <w:t>Cruzar conteúdo da fls. 1063 com Documentos 11, 26, 27, 28, 30 — verificar consistência com cronologia SISBAJUD/BTG/WIB/Ajaccio; conferir folhas referenciadas internamente.</w:t>
      </w:r>
    </w:p>
    <w:p>
      <w:pPr>
        <w:pStyle w:val="Heading2"/>
      </w:pPr>
      <w:r>
        <w:rPr>
          <w:rFonts w:ascii="Helvetica" w:hAnsi="Helvetica"/>
          <w:color w:val="1B3A5B"/>
        </w:rPr>
        <w:t>III.6. Conferência on-line eSAJ</w:t>
      </w:r>
    </w:p>
    <w:p>
      <w:r>
        <w:rPr>
          <w:rFonts w:ascii="Georgia" w:hAnsi="Georgia"/>
          <w:sz w:val="21"/>
        </w:rPr>
        <w:t>Solicitar à patrocinadora conferência on-line do código eSAJ no portal pastadigital.tjsp.jus.br com captura em ata notarial; comparar com o PDF 38; requisitar log de auditoria do TJSP se necessário.</w:t>
      </w:r>
    </w:p>
    <w:p>
      <w:pPr>
        <w:pStyle w:val="Heading1"/>
      </w:pPr>
      <w:r>
        <w:rPr>
          <w:rFonts w:ascii="Helvetica" w:hAnsi="Helvetica"/>
          <w:color w:val="1B3A5B"/>
        </w:rPr>
        <w:t>IV. Posicionamento da fls. 1063</w:t>
      </w:r>
    </w:p>
    <w:p>
      <w:r>
        <w:rPr>
          <w:rFonts w:ascii="Georgia" w:hAnsi="Georgia"/>
          <w:b/>
          <w:sz w:val="21"/>
        </w:rPr>
        <w:t>No Doc 31 a peça 35 cobre fls. 5-794 e a peça 36 cobre fls. 399-1706. A fls. 1063 deve estar na peça 36 ou em peça do 1º grau não remetida. A peça 36 menciona expressamente: "O v. acórdão de fls. 1064/1079 debruçou-se sobre a questão suscitada" — a fls. 1063 é IMEDIATAMENTE ANTERIOR ao acórdão do primeiro AI. Hipótese técnica prioritária: a fls. 1063 contém o cabeçalho/início desse acórdão ou despacho-charneira, e a alegada adulteração pode estar em divergência entre como o segundo AI 2231738-85.2023 cita/reproduz essa folha vs. seu estado nos autos principais.</w:t>
      </w:r>
    </w:p>
    <w:p>
      <w:pPr>
        <w:pStyle w:val="Heading1"/>
      </w:pPr>
      <w:r>
        <w:rPr>
          <w:rFonts w:ascii="Helvetica" w:hAnsi="Helvetica"/>
          <w:color w:val="1B3A5B"/>
        </w:rPr>
        <w:t>V. Vetores específicos a inspecionar na fls. 1063</w:t>
      </w:r>
    </w:p>
    <w:p>
      <w:r>
        <w:rPr>
          <w:rFonts w:ascii="Georgia" w:hAnsi="Georgia"/>
          <w:sz w:val="20"/>
        </w:rPr>
        <w:t>• Código eSAJ visível e legível, conferível no portal</w:t>
      </w:r>
    </w:p>
    <w:p>
      <w:r>
        <w:rPr>
          <w:rFonts w:ascii="Georgia" w:hAnsi="Georgia"/>
          <w:sz w:val="20"/>
        </w:rPr>
        <w:t>• Cabeçalho "Este documento é cópia... assinado digitalmente por X" — signatário esperado</w:t>
      </w:r>
    </w:p>
    <w:p>
      <w:r>
        <w:rPr>
          <w:rFonts w:ascii="Georgia" w:hAnsi="Georgia"/>
          <w:sz w:val="20"/>
        </w:rPr>
        <w:t>• Rodapé "Para conferir o original, acesse..." — URL e código íntegros</w:t>
      </w:r>
    </w:p>
    <w:p>
      <w:r>
        <w:rPr>
          <w:rFonts w:ascii="Georgia" w:hAnsi="Georgia"/>
          <w:sz w:val="20"/>
        </w:rPr>
        <w:t>• Tipografia/fonte coerente com folhas vizinhas</w:t>
      </w:r>
    </w:p>
    <w:p>
      <w:r>
        <w:rPr>
          <w:rFonts w:ascii="Georgia" w:hAnsi="Georgia"/>
          <w:sz w:val="20"/>
        </w:rPr>
        <w:t>• Camadas /Subtype/Watermark, /Subtype/Stamp, ou Form XObject sobrepostos</w:t>
      </w:r>
    </w:p>
    <w:p>
      <w:r>
        <w:rPr>
          <w:rFonts w:ascii="Georgia" w:hAnsi="Georgia"/>
          <w:sz w:val="20"/>
        </w:rPr>
        <w:t>• Datas inscritas no corpo vs. cronologia processual</w:t>
      </w:r>
    </w:p>
    <w:p>
      <w:r>
        <w:rPr>
          <w:rFonts w:ascii="Georgia" w:hAnsi="Georgia"/>
          <w:sz w:val="20"/>
        </w:rPr>
        <w:t>• Valores monetários vs. R$ 84,86 MM / 42,4 MM / 31,9 MM / 51,3 MM</w:t>
      </w:r>
    </w:p>
    <w:p>
      <w:r>
        <w:rPr>
          <w:rFonts w:ascii="Georgia" w:hAnsi="Georgia"/>
          <w:sz w:val="20"/>
        </w:rPr>
        <w:t>• Número de página interna no PDF 38 vs. sequência das vizinhas</w:t>
      </w:r>
    </w:p>
    <w:p>
      <w:r>
        <w:rPr>
          <w:rFonts w:ascii="Georgia" w:hAnsi="Georgia"/>
          <w:sz w:val="20"/>
        </w:rPr>
        <w:t>• Hash SHA-256 da página renderizada a 300 dpi</w:t>
      </w:r>
    </w:p>
    <w:p>
      <w:pPr>
        <w:pStyle w:val="Heading1"/>
      </w:pPr>
      <w:r>
        <w:rPr>
          <w:rFonts w:ascii="Helvetica" w:hAnsi="Helvetica"/>
          <w:color w:val="1B3A5B"/>
        </w:rPr>
        <w:t>VI. Pedidos imediatos</w:t>
      </w:r>
    </w:p>
    <w:p>
      <w:r>
        <w:rPr>
          <w:rFonts w:ascii="Georgia" w:hAnsi="Georgia"/>
          <w:sz w:val="21"/>
        </w:rPr>
        <w:t>1. Anexar à sessão o PDF 38 (185 págs, AI 2231738-85.2023).</w:t>
      </w:r>
    </w:p>
    <w:p>
      <w:r>
        <w:rPr>
          <w:rFonts w:ascii="Georgia" w:hAnsi="Georgia"/>
          <w:sz w:val="21"/>
        </w:rPr>
        <w:t>2. Anexar a fls. 1063 original do 1º grau (com cabeçalho eSAJ íntegro, do portal pastadigital.tjsp.jus.br).</w:t>
      </w:r>
    </w:p>
    <w:p>
      <w:r>
        <w:rPr>
          <w:rFonts w:ascii="Georgia" w:hAnsi="Georgia"/>
          <w:sz w:val="21"/>
        </w:rPr>
        <w:t>3. Anexar a fls. 1063 conforme reproduzida no AI 2231738-85.2023 (após localização interna).</w:t>
      </w:r>
    </w:p>
    <w:p>
      <w:r>
        <w:rPr>
          <w:rFonts w:ascii="Georgia" w:hAnsi="Georgia"/>
          <w:sz w:val="21"/>
        </w:rPr>
        <w:t>4. Anexar, se houver, o acórdão de fls. 1064/1079 do primeiro AI mencionado na peça 36.</w:t>
      </w:r>
    </w:p>
    <w:p>
      <w:r>
        <w:rPr>
          <w:rFonts w:ascii="Georgia" w:hAnsi="Georgia"/>
          <w:sz w:val="21"/>
        </w:rPr>
        <w:t>5. Fornecer o código eSAJ que apareceria na fls. 1063 original (consultável no TJSP).</w:t>
      </w:r>
    </w:p>
    <w:p>
      <w:pPr>
        <w:pStyle w:val="Heading1"/>
      </w:pPr>
      <w:r>
        <w:rPr>
          <w:rFonts w:ascii="Helvetica" w:hAnsi="Helvetica"/>
          <w:color w:val="1B3A5B"/>
        </w:rPr>
        <w:t>VII. Reserva técnica</w:t>
      </w:r>
    </w:p>
    <w:p>
      <w:r>
        <w:rPr>
          <w:rFonts w:ascii="Georgia" w:hAnsi="Georgia"/>
          <w:i/>
          <w:sz w:val="21"/>
        </w:rPr>
        <w:t>Protocolo pericial preparatório sob CPC arts. 369-380, 471-477 e CF art. 5º, LVI. Parecer pericial conclusivo será emitido como Documento 33 após juntada efetiva do PDF 38 e da fls. 1063 original. Qualificações em tese sob CF art. 5º, LVII.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