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TESE v3 · PATCH · CAMADA DE CONTEXTUALIZAÇÃO PROTETIVA</w:t>
      </w:r>
    </w:p>
    <w:p>
      <w:pPr>
        <w:jc w:val="center"/>
      </w:pPr>
      <w:r>
        <w:rPr>
          <w:i/>
          <w:sz w:val="19"/>
        </w:rPr>
        <w:t>A confusão terminológica como tática de violência patrimonial — Resolução CNJ nº 492/2023</w:t>
        <w:br/>
        <w:t>Autos 1006744-58.2023.8.26.0011 · 1ª VF Pinheiros/SP · Emissão 14/06/2026 · Patch v3</w:t>
        <w:br/>
        <w:t>Sucede e complementa Docs. 16 (v1) e 17 (v2) · CONFIDENCIAL</w:t>
      </w:r>
    </w:p>
    <w:p>
      <w:pPr>
        <w:pStyle w:val="Heading1"/>
      </w:pPr>
      <w:r>
        <w:rPr>
          <w:color w:val="1A1A1A"/>
        </w:rPr>
        <w:t>I. Função deste patch</w:t>
      </w:r>
    </w:p>
    <w:p>
      <w:pPr>
        <w:jc w:val="both"/>
      </w:pPr>
      <w:r>
        <w:rPr>
          <w:b/>
          <w:i w:val="0"/>
        </w:rPr>
        <w:t>O Doc. 17 (v2) incorporou os três sanatórios e produziu o reposicionamento já com verificação literal dos autos. O parecer do Relator confirma a v2 (10/10 nos pilares da genealogia do significante e da distinção localização × genealogia; 9,5/10 no enquadramento da fraude) e solicita um quarto reforço: dedicar tratamento específico à conexão entre confusão terminológica e violência patrimonial/psicológica, com aplicação expressa do Protocolo CNJ nº 492/2023. Este patch v3 cumpre essa orientação — não substitui a v2; ACRESCENTA-LHE a camada de contextualização protetiva.</w:t>
      </w:r>
    </w:p>
    <w:p>
      <w:pPr>
        <w:pStyle w:val="Heading1"/>
      </w:pPr>
      <w:r>
        <w:rPr>
          <w:color w:val="1A1A1A"/>
        </w:rPr>
        <w:t>II. Marco normativo da leitura protetiva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Aplicação ao caso</w:t>
            </w:r>
          </w:p>
        </w:tc>
      </w:tr>
      <w:tr>
        <w:tc>
          <w:tcPr>
            <w:tcW w:type="dxa" w:w="3216"/>
          </w:tcPr>
          <w:p>
            <w:r>
              <w:t>LMP art. 7º, IV</w:t>
            </w:r>
          </w:p>
        </w:tc>
        <w:tc>
          <w:tcPr>
            <w:tcW w:type="dxa" w:w="3216"/>
          </w:tcPr>
          <w:p>
            <w:r>
              <w:t>Violência patrimonial — retenção de bens, valores, direitos e recursos econômicos</w:t>
            </w:r>
          </w:p>
        </w:tc>
        <w:tc>
          <w:tcPr>
            <w:tcW w:type="dxa" w:w="3216"/>
          </w:tcPr>
          <w:p>
            <w:r>
              <w:t>Vetor de leitura da retenção sustentada por 1.095+ dias</w:t>
            </w:r>
          </w:p>
        </w:tc>
      </w:tr>
      <w:tr>
        <w:tc>
          <w:tcPr>
            <w:tcW w:type="dxa" w:w="3216"/>
          </w:tcPr>
          <w:p>
            <w:r>
              <w:t>LMP art. 7º, II</w:t>
            </w:r>
          </w:p>
        </w:tc>
        <w:tc>
          <w:tcPr>
            <w:tcW w:type="dxa" w:w="3216"/>
          </w:tcPr>
          <w:p>
            <w:r>
              <w:t>Violência psicológica — dano emocional</w:t>
            </w:r>
          </w:p>
        </w:tc>
        <w:tc>
          <w:tcPr>
            <w:tcW w:type="dxa" w:w="3216"/>
          </w:tcPr>
          <w:p>
            <w:r>
              <w:t>Nexo causal com a privação financeira sistemática — atestado 05/05/2026</w:t>
            </w:r>
          </w:p>
        </w:tc>
      </w:tr>
      <w:tr>
        <w:tc>
          <w:tcPr>
            <w:tcW w:type="dxa" w:w="3216"/>
          </w:tcPr>
          <w:p>
            <w:r>
              <w:t>Belém do Pará — Decreto 1.973/1996, art. 7º</w:t>
            </w:r>
          </w:p>
        </w:tc>
        <w:tc>
          <w:tcPr>
            <w:tcW w:type="dxa" w:w="3216"/>
          </w:tcPr>
          <w:p>
            <w:r>
              <w:t>Devida diligência do Estado</w:t>
            </w:r>
          </w:p>
        </w:tc>
        <w:tc>
          <w:tcPr>
            <w:tcW w:type="dxa" w:w="3216"/>
          </w:tcPr>
          <w:p>
            <w:r>
              <w:t>Reforço recursal e moldura supralegal</w:t>
            </w:r>
          </w:p>
        </w:tc>
      </w:tr>
      <w:tr>
        <w:tc>
          <w:tcPr>
            <w:tcW w:type="dxa" w:w="3216"/>
          </w:tcPr>
          <w:p>
            <w:r>
              <w:t>CEDAW — Decreto 4.377/2002</w:t>
            </w:r>
          </w:p>
        </w:tc>
        <w:tc>
          <w:tcPr>
            <w:tcW w:type="dxa" w:w="3216"/>
          </w:tcPr>
          <w:p>
            <w:r>
              <w:t>Eliminação de discriminação</w:t>
            </w:r>
          </w:p>
        </w:tc>
        <w:tc>
          <w:tcPr>
            <w:tcW w:type="dxa" w:w="3216"/>
          </w:tcPr>
          <w:p>
            <w:r>
              <w:t>Moldura internacional</w:t>
            </w:r>
          </w:p>
        </w:tc>
      </w:tr>
      <w:tr>
        <w:tc>
          <w:tcPr>
            <w:tcW w:type="dxa" w:w="3216"/>
          </w:tcPr>
          <w:p>
            <w:r>
              <w:t>Resolução CNJ nº 492/2023</w:t>
            </w:r>
          </w:p>
        </w:tc>
        <w:tc>
          <w:tcPr>
            <w:tcW w:type="dxa" w:w="3216"/>
          </w:tcPr>
          <w:p>
            <w:r>
              <w:t>Julgamento com perspectiva de gênero; assimetria informacional; vedação à revitimização</w:t>
            </w:r>
          </w:p>
        </w:tc>
        <w:tc>
          <w:tcPr>
            <w:tcW w:type="dxa" w:w="3216"/>
          </w:tcPr>
          <w:p>
            <w:r>
              <w:t>Vetor hermenêutico vinculante — não confere executoriedade penal à vara cível; orienta a leitura dos fatos e a valoração da prova</w:t>
            </w:r>
          </w:p>
        </w:tc>
      </w:tr>
    </w:tbl>
    <w:p/>
    <w:p>
      <w:pPr>
        <w:jc w:val="both"/>
      </w:pPr>
      <w:r>
        <w:rPr>
          <w:b w:val="0"/>
          <w:i/>
        </w:rPr>
        <w:t>Limite de competência. O Protocolo CNJ 492/2023 não desloca a competência da vara de família para a esfera criminal: aporta padrão hermenêutico, não executoriedade. Vara de família continua julgando partilha e alimentos; JVDFM, medidas protetivas; esfera criminal, os tipos. Importa-se a régua — jamais a sanção de outra esfera, sob pena de nulidade.</w:t>
      </w:r>
    </w:p>
    <w:p>
      <w:pPr>
        <w:pStyle w:val="Heading1"/>
      </w:pPr>
      <w:r>
        <w:rPr>
          <w:color w:val="1A1A1A"/>
        </w:rPr>
        <w:t>III. A confusão terminológica como tática típica — três indicadores</w:t>
      </w:r>
    </w:p>
    <w:p>
      <w:pPr>
        <w:jc w:val="both"/>
      </w:pPr>
      <w:r>
        <w:rPr>
          <w:b w:val="0"/>
          <w:i w:val="0"/>
        </w:rPr>
        <w:t>A doutrina da violência patrimonial estruturada identifica três operações típicas. Todas estão documentadas nos autos.</w:t>
      </w:r>
    </w:p>
    <w:p>
      <w:pPr>
        <w:pStyle w:val="Heading2"/>
      </w:pPr>
      <w:r>
        <w:rPr>
          <w:color w:val="7A0C0C"/>
        </w:rPr>
        <w:t>I1 — Assimetria informacional sustentada</w:t>
      </w:r>
    </w:p>
    <w:p>
      <w:pPr>
        <w:jc w:val="both"/>
      </w:pPr>
      <w:r>
        <w:rPr>
          <w:b/>
          <w:i w:val="0"/>
        </w:rPr>
        <w:t>Primeira fotografia do SISBAJUD (fls. 410, 18/05/2023): R$ 7.216.349,32 — patrimônio visível enquanto a FRAM silenciava. Após reiteração (fls. 418, 22/05/2023): R$ 84.856.714,65. 91,5% só apareceu por insistência judicial. A Requerente — que constituiu a vida conjugal de 11/08/2012 a 30/05/2023 (10 anos e 9 meses) exercendo a função familiar enquanto o Requerido administrava a estrutura empresarial — não tinha acesso à mesma informação. Esse desequilíbrio é o substrato fático da assimetria que a Res. CNJ 492/2023 obriga o juízo a reconhecer.</w:t>
      </w:r>
    </w:p>
    <w:p>
      <w:pPr>
        <w:pStyle w:val="Heading2"/>
      </w:pPr>
      <w:r>
        <w:rPr>
          <w:color w:val="7A0C0C"/>
        </w:rPr>
        <w:t>I2 — Protelação como dano contínuo</w:t>
      </w:r>
    </w:p>
    <w:p>
      <w:pPr>
        <w:jc w:val="both"/>
      </w:pPr>
      <w:r>
        <w:rPr>
          <w:b/>
          <w:i w:val="0"/>
        </w:rPr>
        <w:t>A partir de 02/05/2023 (citação), a Requerente opera sem acesso ao acervo localizado. A constrição de 31/05/2023 não se converte em entrega; o saneamento só ocorre em 02/09/2024 (16 meses depois); os embargos protelatórios são rejeitados em 08/11/2024; a oferta de venda das cotas por R$ 4.778.391,19 (6,3% do valor patrimonial de R$ 75.345.821,90) é articulada em 20/08/2025 (fls. 1729) sem comunicação prévia ao juízo. 1.095+ dias de retenção são, em si, o dano patrimonial e psicológico — não pressuposto de uma sanção futura, mas dano em curso.</w:t>
      </w:r>
    </w:p>
    <w:p>
      <w:pPr>
        <w:pStyle w:val="Heading2"/>
      </w:pPr>
      <w:r>
        <w:rPr>
          <w:color w:val="7A0C0C"/>
        </w:rPr>
        <w:t>I3 — Exploração da complexidade técnica como instrumento de exaurimento</w:t>
      </w:r>
    </w:p>
    <w:p>
      <w:pPr>
        <w:jc w:val="both"/>
      </w:pPr>
      <w:r>
        <w:rPr>
          <w:b/>
          <w:i w:val="0"/>
        </w:rPr>
        <w:t>O regime do FIP Ajaccio é deliberadamente complexo: nove subclasses sob RCVM 175/2022 (reestruturação de 26/05/2025), três versões de regulamento com hashes distintos, administradora com identidade renomeada (OSLO → FRAM DTVM, DOU 28/05/2024), feeders cancelados (FRAM XIV) e fundos-casca constituídos durante o litígio (Bonifácio FIP, 11/02/2025). A defesa converte essa complexidade em pretexto para sustentar que a Requerente "não compreende" o ativo — quando o desenho da complexidade é, ele próprio, parte da estratégia.</w:t>
      </w:r>
    </w:p>
    <w:p>
      <w:pPr>
        <w:jc w:val="both"/>
      </w:pPr>
      <w:r>
        <w:rPr>
          <w:b w:val="0"/>
          <w:i w:val="0"/>
        </w:rPr>
        <w:t>Os três indicadores convergem na tática de "violência patrimonial sofisticada": ela não rouba o patrimônio; ela o torna inalcançável, e exaure a parte vulnerável em discussões técnicas complexas enquanto a priva do acesso a recursos essenciais.</w:t>
      </w:r>
    </w:p>
    <w:p>
      <w:pPr>
        <w:pStyle w:val="Heading1"/>
      </w:pPr>
      <w:r>
        <w:rPr>
          <w:color w:val="1A1A1A"/>
        </w:rPr>
        <w:t>IV. Nexo causal documentado — efeito psicofisiológico</w:t>
      </w:r>
    </w:p>
    <w:p>
      <w:pPr>
        <w:jc w:val="both"/>
      </w:pPr>
      <w:r>
        <w:rPr>
          <w:b/>
          <w:i w:val="0"/>
        </w:rPr>
        <w:t>Atestado psiquiátrico — Dr. Ivan dos Santos Rodrigues (CRM-SP 162488 / RQE 87014), 05/05/2026:</w:t>
      </w:r>
    </w:p>
    <w:p>
      <w:pPr>
        <w:jc w:val="both"/>
      </w:pPr>
      <w:r>
        <w:rPr>
          <w:b w:val="0"/>
          <w:i w:val="0"/>
        </w:rPr>
        <w:t>Diagnósticos: Transtorno Depressivo Maior (CID-10 F33); TDAH (F90); hérnias de disco (M51.1); pós-operatório LCA (S83.5).</w:t>
      </w:r>
    </w:p>
    <w:p>
      <w:pPr>
        <w:jc w:val="both"/>
      </w:pPr>
      <w:r>
        <w:rPr>
          <w:b w:val="0"/>
          <w:i/>
        </w:rPr>
        <w:t>"O quadro clínico guarda correlação direta com os fatores estressores relatados de forma consistente e recorrente ao longo do acompanhamento, sendo a PRIVAÇÃO FINANCEIRA SISTEMÁTICA — incluindo a interrupção de cobertura médica e a ausência de assistência básica — FATOR ATIVO DE DESCOMPENSAÇÃO, com efeitos neurobiológicos e comportamentais. (...) A interrupção da cobertura configura RISCO DE SEQUELA PERMANENTE e agravamento do quadro depressivo."</w:t>
      </w:r>
    </w:p>
    <w:p>
      <w:pPr>
        <w:jc w:val="both"/>
      </w:pPr>
      <w:r>
        <w:rPr>
          <w:b/>
          <w:i w:val="0"/>
        </w:rPr>
        <w:t>Configuração jurídica: (i) nexo causal médico — pressuposto da violência psicológica (art. 7º, II); (ii) retenção de recursos essenciais — pressuposto da violência patrimonial (art. 7º, IV); (iii) risco de sequela permanente — pressuposto do reforço de tutela urgente. O dano não é especulativo; está documentado em laudo subscrito por médico habilitado com RQE.</w:t>
      </w:r>
    </w:p>
    <w:p>
      <w:pPr>
        <w:pStyle w:val="Heading1"/>
      </w:pPr>
      <w:r>
        <w:rPr>
          <w:color w:val="1A1A1A"/>
        </w:rPr>
        <w:t>V. Como a v3 integra-se à v2 — quatro consequências processuais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Consequência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Implementação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Reforço da inversão do ônus probatório</w:t>
            </w:r>
          </w:p>
        </w:tc>
        <w:tc>
          <w:tcPr>
            <w:tcW w:type="dxa" w:w="3216"/>
          </w:tcPr>
          <w:p>
            <w:r>
              <w:t>Pedido D da v2 ganha segundo fundamento — Res. CNJ 492/2023 (assimetria informacional vinculante)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Vedação à revitimização</w:t>
            </w:r>
          </w:p>
        </w:tc>
        <w:tc>
          <w:tcPr>
            <w:tcW w:type="dxa" w:w="3216"/>
          </w:tcPr>
          <w:p>
            <w:r>
              <w:t>Pedido de indeferimento de medidas que impliquem auditoria absoluta da vida financeira da Requerente (LC 105/2001 + Res. CNJ 492/2023)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Reconhecimento da violência patrimonial como vetor hermenêutico</w:t>
            </w:r>
          </w:p>
        </w:tc>
        <w:tc>
          <w:tcPr>
            <w:tcW w:type="dxa" w:w="3216"/>
          </w:tcPr>
          <w:p>
            <w:r>
              <w:t>Pedido autônomo F — reconhecimento expresso, na decisão de mérito, da violência patrimonial caracterizada (LMP art. 7º, IV) como vetor de leitura rigorosa — sem importação de executoriedade penal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Tutela autônoma de saúde e cobertura</w:t>
            </w:r>
          </w:p>
        </w:tc>
        <w:tc>
          <w:tcPr>
            <w:tcW w:type="dxa" w:w="3216"/>
          </w:tcPr>
          <w:p>
            <w:r>
              <w:t>Alimentos provisórios majorados em montante suficiente para restabelecimento da cobertura médica essencial — caráter cautelar, independente da partilha</w:t>
            </w:r>
          </w:p>
        </w:tc>
      </w:tr>
    </w:tbl>
    <w:p/>
    <w:p>
      <w:pPr>
        <w:pStyle w:val="Heading1"/>
      </w:pPr>
      <w:r>
        <w:rPr>
          <w:color w:val="1A1A1A"/>
        </w:rPr>
        <w:t>VI. Pedido F — patch sobre os pedidos da v2</w:t>
      </w:r>
    </w:p>
    <w:p>
      <w:pPr>
        <w:jc w:val="both"/>
      </w:pPr>
      <w:r>
        <w:rPr>
          <w:b w:val="0"/>
          <w:i w:val="0"/>
        </w:rPr>
        <w:t>Aos cinco pedidos da v2 (A — incontrovérsia; B — reafirmação do regime de constrição; C — reforço instrumental das protetivas; D — inversão do ônus; E — plano de liquidação), acrescenta-se o pedido F:</w:t>
      </w:r>
    </w:p>
    <w:p>
      <w:pPr>
        <w:jc w:val="both"/>
      </w:pPr>
      <w:r>
        <w:rPr>
          <w:b/>
          <w:i w:val="0"/>
        </w:rPr>
        <w:t>Pedido F. Reconhecimento expresso, na decisão de mérito, de que a sustentação, por mais de mil dias, de narrativa de "ausência de liquidez de cotas" como reclassificação semântica do ativo localizado pelo SISBAJUD configura, à luz do art. 7º, IV, da Lei 11.340/2006 e do padrão hermenêutico da Resolução CNJ nº 492/2023, modalidade de violência patrimonial caracterizada pela retenção de recursos econômicos essenciais à subsistência e à dignidade da Requerente. Consequência hermenêutica exclusivamente cível: (i) leitura rigorosa da ocultação documental, com aplicação plena das presunções CPC 400; (ii) fixação imediata de alimentos provisórios majorados em montante não inferior ao necessário ao restabelecimento da cobertura médica documentada no atestado psiquiátrico de 05/05/2026; (iii) condenação em danos morais autônomos, em montante a ser arbitrado pelo juízo, em razão do dano psicofisiológico documentado, com fundamento no CC arts. 186 e 927.</w:t>
      </w:r>
    </w:p>
    <w:p>
      <w:pPr>
        <w:jc w:val="both"/>
      </w:pPr>
      <w:r>
        <w:rPr>
          <w:b w:val="0"/>
          <w:i/>
        </w:rPr>
        <w:t>Limite expresso. O pedido F não importa executoriedade penal para a esfera cível — opera como vetor hermenêutico e como fundamento para os efeitos cíveis específicos requeridos. O processamento penal eventual é matéria de sede própria — notícia-crime autônoma instruída ao MP.</w:t>
      </w:r>
    </w:p>
    <w:p>
      <w:pPr>
        <w:pStyle w:val="Heading1"/>
      </w:pPr>
      <w:r>
        <w:rPr>
          <w:color w:val="1A1A1A"/>
        </w:rPr>
        <w:t>VII. Silogismo de fechamento — v3</w:t>
      </w:r>
    </w:p>
    <w:p>
      <w:pPr>
        <w:jc w:val="both"/>
      </w:pPr>
      <w:r>
        <w:rPr>
          <w:b w:val="0"/>
          <w:i w:val="0"/>
        </w:rPr>
        <w:t>P1 — Norma. LMP art. 7º, IV configura como violência patrimonial a retenção de bens, valores, direitos e recursos econômicos; Res. CNJ 492/2023 impõe à magistratura padrão hermenêutico de julgamento com perspectiva de gênero, com reconhecimento da assimetria informacional e vedação à revitimização.</w:t>
      </w:r>
    </w:p>
    <w:p>
      <w:pPr>
        <w:jc w:val="both"/>
      </w:pPr>
      <w:r>
        <w:rPr>
          <w:b w:val="0"/>
          <w:i w:val="0"/>
        </w:rPr>
        <w:t>P2 — Fato. A Requerente foi mantida, por mais de 1.095 dias, sem acesso a qualquer fração do acervo de R$ 84.856.714,65 localizado em 16/05/2023; atestado psiquiátrico de 05/05/2026 documenta Transtorno Depressivo Maior em nexo causal com a privação financeira sistemática, com risco de sequela permanente.</w:t>
      </w:r>
    </w:p>
    <w:p>
      <w:pPr>
        <w:jc w:val="both"/>
      </w:pPr>
      <w:r>
        <w:rPr>
          <w:b w:val="0"/>
          <w:i w:val="0"/>
        </w:rPr>
        <w:t>P3 — Conduta. Defesa sustenta, desde fls. 569/575 (13/06/2023), narrativa de "ausência de liquidez de cotas" que reclassifica semanticamente o ativo localizado, sem trazer aos autos a documentação estrutural exigível e contradizendo informação prestada por outras vias; complexidade técnica do veículo (nove subclasses, três versões de regulamento, identidade renomeada, fundo-casca) convertida em pretexto.</w:t>
      </w:r>
    </w:p>
    <w:p>
      <w:pPr>
        <w:jc w:val="both"/>
      </w:pPr>
      <w:r>
        <w:rPr>
          <w:b/>
          <w:i w:val="0"/>
        </w:rPr>
        <w:t>Conclusão. Sustentação da confusão terminológica por 1.095+ dias, em assimetria informacional vinculante (Res. CNJ 492/2023), com dano psicofisiológico documentado, configura na esfera cível modalidade de violência patrimonial (LMP art. 7º, IV) — não como imputação penal, mas como vetor hermenêutico de leitura rigorosa, autorizando (i) aplicação plena da inversão do ônus, (ii) tutela autônoma de saúde e cobertura, (iii) condenação em danos morais autônomos. Sede própria do desdobramento penal: notícia-crime autônoma.</w:t>
      </w:r>
    </w:p>
    <w:p>
      <w:pPr>
        <w:pStyle w:val="Heading1"/>
      </w:pPr>
      <w:r>
        <w:rPr>
          <w:color w:val="1A1A1A"/>
        </w:rPr>
        <w:t>VIII. Tese consolidada v3 — uma frase</w:t>
      </w:r>
    </w:p>
    <w:p>
      <w:pPr>
        <w:jc w:val="both"/>
      </w:pPr>
      <w:r>
        <w:rPr>
          <w:b/>
          <w:i w:val="0"/>
        </w:rPr>
        <w:t>A confusão terminológica que a defesa sustenta há 1.095+ dias — reclassificando o ativo financeiro localizado pelo SISBAJUD como "cota ilíquida" para neutralizar a constrição judicial — não é apenas tática processual; é, à luz do art. 7º, IV, da Lei 11.340/2006 e do padrão hermenêutico da Resolução CNJ nº 492/2023, modalidade de violência patrimonial documentada em nexo causal médico (atestado psiquiátrico de 05/05/2026), que exige do juízo de família a aplicação da inversão do ônus probatório, a fixação de tutela autônoma de saúde e cobertura, o reconhecimento expresso como vetor hermenêutico de leitura rigorosa, e a condenação em danos morais autônomos — sem prejuízo do encaminhamento, em sede própria, das eventuais consequências penais à autoridade competente.</w:t>
      </w:r>
    </w:p>
    <w:p>
      <w:pPr>
        <w:pStyle w:val="Heading1"/>
      </w:pPr>
      <w:r>
        <w:rPr>
          <w:color w:val="1A1A1A"/>
        </w:rPr>
        <w:t>IX. Conformidade metodológica</w:t>
      </w:r>
    </w:p>
    <w:p>
      <w:pPr>
        <w:jc w:val="both"/>
      </w:pPr>
      <w:r>
        <w:rPr>
          <w:b w:val="0"/>
          <w:i w:val="0"/>
        </w:rPr>
        <w:t>Este patch (v3) sucede e complementa as versões 1 e 2 (Docs. 16 e 17). É instrumento técnico-jurídico de apoio; não é perícia oficial. Toda afirmação fática está ancorada em folhas dos autos, registro público ou norma vigente. As qualificações jurídicas atribuídas a condutas alheias são descritas em tese, sob CF art. 5º, LVII.</w:t>
      </w:r>
    </w:p>
    <w:p>
      <w:pPr>
        <w:jc w:val="both"/>
      </w:pPr>
      <w:r>
        <w:rPr>
          <w:b w:val="0"/>
          <w:i w:val="0"/>
        </w:rPr>
        <w:t>O reconhecimento da violência patrimonial proposto (Pedido F) opera exclusivamente como vetor hermenêutico e como fundamento para os efeitos cíveis específicos — não importa executoriedade penal para a esfera cível, em estrita conformidade com a competência da vara de família. Eventual processamento penal: sede própria.</w:t>
      </w:r>
    </w:p>
    <w:p>
      <w:pPr>
        <w:jc w:val="both"/>
      </w:pPr>
      <w:r>
        <w:rPr>
          <w:b w:val="0"/>
          <w:i w:val="0"/>
        </w:rPr>
        <w:t>Conversão em peça subscrita por OAB e em laudo CRC/CORECON antes de qualquer uso processual.</w:t>
      </w:r>
    </w:p>
    <w:p>
      <w:pPr>
        <w:pStyle w:val="Heading1"/>
      </w:pPr>
      <w:r>
        <w:rPr>
          <w:color w:val="1A1A1A"/>
        </w:rPr>
        <w:t>Referências documentais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Referências</w:t>
            </w:r>
          </w:p>
        </w:tc>
      </w:tr>
      <w:tr>
        <w:tc>
          <w:tcPr>
            <w:tcW w:type="dxa" w:w="4824"/>
          </w:tcPr>
          <w:p>
            <w:r>
              <w:t>Folhas (novas neste patch)</w:t>
            </w:r>
          </w:p>
        </w:tc>
        <w:tc>
          <w:tcPr>
            <w:tcW w:type="dxa" w:w="4824"/>
          </w:tcPr>
          <w:p>
            <w:r>
              <w:t>fls. 1729 (oferta R$ 4.778.391,19 em 20/08/2025); fls. 1733 (laudo R$ 75.345.821,90); atestado psiquiátrico 05/05/2026 (Dr. Ivan Rodrigues, CRM-SP 162488 / RQE 87014)</w:t>
            </w:r>
          </w:p>
        </w:tc>
      </w:tr>
      <w:tr>
        <w:tc>
          <w:tcPr>
            <w:tcW w:type="dxa" w:w="4824"/>
          </w:tcPr>
          <w:p>
            <w:r>
              <w:t>Folhas (já consolidadas v1/v2)</w:t>
            </w:r>
          </w:p>
        </w:tc>
        <w:tc>
          <w:tcPr>
            <w:tcW w:type="dxa" w:w="4824"/>
          </w:tcPr>
          <w:p>
            <w:r>
              <w:t>fls. 410, 418-419, 545-547, 569-575, 1064-1079, 1370-1373, 1405-1406</w:t>
            </w:r>
          </w:p>
        </w:tc>
      </w:tr>
      <w:tr>
        <w:tc>
          <w:tcPr>
            <w:tcW w:type="dxa" w:w="4824"/>
          </w:tcPr>
          <w:p>
            <w:r>
              <w:t>Normas protetivas</w:t>
            </w:r>
          </w:p>
        </w:tc>
        <w:tc>
          <w:tcPr>
            <w:tcW w:type="dxa" w:w="4824"/>
          </w:tcPr>
          <w:p>
            <w:r>
              <w:t>LMP art. 7º, II e IV; Belém do Pará art. 7º (Decreto 1.973/1996); CEDAW (Decreto 4.377/2002); Res. CNJ 492/2023</w:t>
            </w:r>
          </w:p>
        </w:tc>
      </w:tr>
      <w:tr>
        <w:tc>
          <w:tcPr>
            <w:tcW w:type="dxa" w:w="4824"/>
          </w:tcPr>
          <w:p>
            <w:r>
              <w:t>Normas cíveis cumulativas</w:t>
            </w:r>
          </w:p>
        </w:tc>
        <w:tc>
          <w:tcPr>
            <w:tcW w:type="dxa" w:w="4824"/>
          </w:tcPr>
          <w:p>
            <w:r>
              <w:t>CC 186, 422, 927, 1.660 I; CPC 297, 311 II, 373 §1º, 374 III, 396-404, 472, 537, 833, 835 XIII, 854 §3º</w:t>
            </w:r>
          </w:p>
        </w:tc>
      </w:tr>
      <w:tr>
        <w:tc>
          <w:tcPr>
            <w:tcW w:type="dxa" w:w="4824"/>
          </w:tcPr>
          <w:p>
            <w:r>
              <w:t>Limite expresso</w:t>
            </w:r>
          </w:p>
        </w:tc>
        <w:tc>
          <w:tcPr>
            <w:tcW w:type="dxa" w:w="4824"/>
          </w:tcPr>
          <w:p>
            <w:r>
              <w:t>Não importação de executoriedade penal para a esfera cível — eventual desdobramento em sede própria (CP 168, 171, 179; Lei 9.613/98)</w:t>
            </w:r>
          </w:p>
        </w:tc>
      </w:tr>
    </w:tbl>
    <w:p/>
    <w:p>
      <w:pPr>
        <w:jc w:val="center"/>
      </w:pPr>
      <w:r>
        <w:rPr>
          <w:i/>
          <w:sz w:val="17"/>
        </w:rPr>
        <w:t>Série DOSSIÊS E NOTAS TÉCNICAS — documento 18 · Patch v3 · 14/06/2026 · sucede Docs. 16 e 17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