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55 — Nota Metodológica · Planilha Contábil-Forense Comparativa 2023×2026</w:t>
      </w:r>
    </w:p>
    <w:p>
      <w:pPr>
        <w:jc w:val="center"/>
      </w:pPr>
      <w:r>
        <w:rPr>
          <w:i/>
          <w:sz w:val="18"/>
        </w:rPr>
        <w:t>9 abas · 124 linhas analíticas · standard CNJ 492/2023 · vetor LMP art. 7º, IV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