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0020"/>
          <w:sz w:val="18"/>
        </w:rPr>
        <w:t>CONFIDENCIAL · USO RESTRITO DA EQUIPE · INSTRUMENTO TÉCNICO</w:t>
      </w:r>
    </w:p>
    <w:p>
      <w:pPr>
        <w:jc w:val="center"/>
      </w:pPr>
      <w:r>
        <w:rPr>
          <w:b/>
          <w:color w:val="1B3A5B"/>
          <w:sz w:val="32"/>
        </w:rPr>
        <w:t>74 — Cálculo de Pensão Devida × Paga</w:t>
      </w:r>
    </w:p>
    <w:p>
      <w:pPr>
        <w:jc w:val="center"/>
      </w:pPr>
      <w:r>
        <w:rPr>
          <w:i/>
          <w:sz w:val="20"/>
        </w:rPr>
        <w:t>Ari Gorenstein → Millena Onesti Gorenstein + Maia + Caio · 01/01/2025 a 30/06/2026</w:t>
      </w:r>
    </w:p>
    <w:p/>
    <w:p>
      <w:pPr>
        <w:pStyle w:val="Heading2"/>
      </w:pPr>
      <w:r>
        <w:rPr>
          <w:color w:val="1B3A5B"/>
        </w:rPr>
        <w:t>I — Premissas do cálculo (a confirmar pela banca)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 2025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 2026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Base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Pensão Millena · piso variável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6 × SM nacional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R$ 9.108,00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R$ 9.720,00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SM 2025 R$ 1.518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Pensão Millena · fixo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R$ 18.400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R$ 18.400,00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R$ 18.400,00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Valor informado</w:t>
            </w:r>
          </w:p>
        </w:tc>
      </w:tr>
      <w:tr>
        <w:tc>
          <w:tcPr>
            <w:tcW w:type="dxa" w:w="2108"/>
          </w:tcPr>
          <w:p>
            <w:r/>
            <w:r>
              <w:rPr>
                <w:b/>
                <w:sz w:val="18"/>
              </w:rPr>
              <w:t>Pensão Millena · TOTAL/mês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6 SM + R$ 18.400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R$ 27.508,00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R$ 28.120,00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Pensão ex-cônjuge</w:t>
            </w:r>
          </w:p>
        </w:tc>
      </w:tr>
      <w:tr>
        <w:tc>
          <w:tcPr>
            <w:tcW w:type="dxa" w:w="2108"/>
          </w:tcPr>
          <w:p>
            <w:r/>
            <w:r>
              <w:rPr>
                <w:sz w:val="18"/>
              </w:rPr>
              <w:t>Pensão crianças (Maia + Caio)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R$ 12k × 2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R$ 24.000,00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R$ 24.000,00</w:t>
            </w:r>
          </w:p>
        </w:tc>
        <w:tc>
          <w:tcPr>
            <w:tcW w:type="dxa" w:w="2108"/>
          </w:tcPr>
          <w:p>
            <w:r/>
            <w:r>
              <w:rPr>
                <w:sz w:val="18"/>
              </w:rPr>
              <w:t>Alinhado IRPF 2024</w:t>
            </w:r>
          </w:p>
        </w:tc>
      </w:tr>
      <w:tr>
        <w:tc>
          <w:tcPr>
            <w:tcW w:type="dxa" w:w="2108"/>
          </w:tcPr>
          <w:p>
            <w:r/>
            <w:r>
              <w:rPr>
                <w:b/>
                <w:sz w:val="18"/>
              </w:rPr>
              <w:t>TOTAL devido por mês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Millena + crianças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R$ 51.508,00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R$ 52.120,00</w:t>
            </w:r>
          </w:p>
        </w:tc>
        <w:tc>
          <w:tcPr>
            <w:tcW w:type="dxa" w:w="2108"/>
          </w:tcPr>
          <w:p>
            <w:r/>
            <w:r>
              <w:rPr>
                <w:b/>
                <w:sz w:val="18"/>
              </w:rPr>
              <w:t>Soma das pensões</w:t>
            </w:r>
          </w:p>
        </w:tc>
      </w:tr>
    </w:tbl>
    <w:p/>
    <w:p>
      <w:pPr>
        <w:pStyle w:val="Heading2"/>
      </w:pPr>
      <w:r>
        <w:rPr>
          <w:color w:val="1B3A5B"/>
        </w:rPr>
        <w:t>II — Cálculo mensal · pensão devida vs paga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Mês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Devido (R$)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Pago Ari (R$)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Shortfall (R$)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01/2025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INADIMPL. TOTAL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02/2025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INADIMPL. TOTAL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03/2025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INADIMPL. TOTAL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04/2025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INADIMPL. TOTAL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05/2025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INADIMPL. TOTAL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06/2025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INADIMPL. TOTAL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07/2025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INADIMPL. TOTAL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08/2025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INADIMPL. TOTAL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09/2025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INADIMPL. TOTAL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INADIMPL. TOTAL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11/2025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INADIMPL. TOTAL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12/2025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51.508,00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INADIMPL. TOTAL</w:t>
            </w:r>
          </w:p>
        </w:tc>
      </w:tr>
      <w:tr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01/2026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52.120,00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78.521,53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−26.401,53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−51%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ADIMPLENTE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02/2026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52.120,00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52.120,00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INADIMPL. TOTAL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03/2026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52.120,00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52.120,00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INADIMPL. TOTAL</w:t>
            </w:r>
          </w:p>
        </w:tc>
      </w:tr>
      <w:tr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04/2026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52.120,00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73.807,55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−21.687,55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−42%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ADIMPLENTE</w:t>
            </w:r>
          </w:p>
        </w:tc>
      </w:tr>
      <w:tr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05/2026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52.120,00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30.900,00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21.220,00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41%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06/2026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52.120,00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30.900,00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21.220,00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41%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PARCIAL</w:t>
            </w:r>
          </w:p>
        </w:tc>
      </w:tr>
      <w:tr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TOTAL 18m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930.816,00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214.129,08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716.686,92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77,00%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SHORTFALL</w:t>
            </w:r>
          </w:p>
        </w:tc>
      </w:tr>
    </w:tbl>
    <w:p/>
    <w:p>
      <w:pPr>
        <w:pStyle w:val="Heading2"/>
      </w:pPr>
      <w:r>
        <w:rPr>
          <w:color w:val="1B3A5B"/>
        </w:rPr>
        <w:t>III — Síntese executiva</w:t>
      </w:r>
    </w:p>
    <w:p>
      <w:r>
        <w:rPr>
          <w:sz w:val="20"/>
        </w:rPr>
        <w:t>DEVIDO em 18 meses: R$ 930.816,00 · PAGO via PIX direto de Ari: R$ 214.129,08</w:t>
      </w:r>
    </w:p>
    <w:p>
      <w:r>
        <w:rPr>
          <w:b/>
          <w:color w:val="B00020"/>
          <w:sz w:val="22"/>
        </w:rPr>
        <w:t>SHORTFALL ABSOLUTO: R$ 716.686,92 — 77,00% do devido inadimplido</w:t>
      </w:r>
    </w:p>
    <w:p>
      <w:r>
        <w:rPr>
          <w:sz w:val="20"/>
        </w:rPr>
        <w:t>Meses com pagamento ZERO: 12 (todos jan-dez/2025 + 02/2026 + 03/2026) · com pagamento parcial: 2 (05/2026 e 06/2026) · com pagamento integral ou excedente: 2 (01/2026 e 04/2026)</w:t>
      </w:r>
    </w:p>
    <w:p>
      <w:pPr>
        <w:pStyle w:val="Heading2"/>
      </w:pPr>
      <w:r>
        <w:rPr>
          <w:color w:val="1B3A5B"/>
        </w:rPr>
        <w:t>IV — Atualização monetária e juros de mora (base 30/06/2026)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 R$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Devido nominal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930.816,00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Devido atualizado (IPCA + juros 1% a.m.)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1.045.219,61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Pago via PIX Ari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214.129,08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  <w:sz w:val="22"/>
              </w:rPr>
            </w:r>
            <w:r>
              <w:rPr>
                <w:b/>
                <w:color w:val="B00020"/>
                <w:sz w:val="22"/>
              </w:rPr>
              <w:t>SHORTFALL ATUALIZADO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  <w:sz w:val="22"/>
              </w:rPr>
            </w:r>
            <w:r>
              <w:rPr>
                <w:b/>
                <w:color w:val="B00020"/>
                <w:sz w:val="22"/>
              </w:rPr>
              <w:t>831.090,53</w:t>
            </w:r>
          </w:p>
        </w:tc>
      </w:tr>
    </w:tbl>
    <w:p/>
    <w:p>
      <w:pPr>
        <w:pStyle w:val="Heading2"/>
      </w:pPr>
      <w:r>
        <w:rPr>
          <w:color w:val="1B3A5B"/>
        </w:rPr>
        <w:t>V — Análise de sensibilidade · hipóteses alternativas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Hipótese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Devido 18m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Shortfall</w:t>
            </w:r>
          </w:p>
        </w:tc>
      </w:tr>
      <w:tr>
        <w:tc>
          <w:tcPr>
            <w:tcW w:type="dxa" w:w="3513"/>
            <w:shd w:val="clear" w:color="auto" w:fill="EEF6F0"/>
          </w:tcPr>
          <w:p>
            <w:r/>
            <w:r>
              <w:rPr>
                <w:sz w:val="18"/>
              </w:rPr>
              <w:t>H1 · Premissa principal (6 SM + R$18.400 + R$24k crianças)</w:t>
            </w:r>
          </w:p>
        </w:tc>
        <w:tc>
          <w:tcPr>
            <w:tcW w:type="dxa" w:w="3513"/>
            <w:shd w:val="clear" w:color="auto" w:fill="EEF6F0"/>
          </w:tcPr>
          <w:p>
            <w:r/>
            <w:r>
              <w:rPr>
                <w:sz w:val="18"/>
              </w:rPr>
              <w:t>R$ 930.816,00</w:t>
            </w:r>
          </w:p>
        </w:tc>
        <w:tc>
          <w:tcPr>
            <w:tcW w:type="dxa" w:w="3513"/>
            <w:shd w:val="clear" w:color="auto" w:fill="EEF6F0"/>
          </w:tcPr>
          <w:p>
            <w:r/>
            <w:r>
              <w:rPr>
                <w:sz w:val="18"/>
              </w:rPr>
              <w:t>R$ 716.686,92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H2 · Crianças @ R$ 24.300 (valor PIX real)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R$ 936.216,00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R$ 722.086,92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H3 · IRPF 2024 (R$ 20k Millena + R$ 24k crianças = R$ 44k/mês)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R$ 792.000,00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R$ 577.870,92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H4 · Apenas Millena (sem crianças)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R$ 498.816,00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R$ 284.686,92</w:t>
            </w:r>
          </w:p>
        </w:tc>
      </w:tr>
    </w:tbl>
    <w:p/>
    <w:p>
      <w:pPr>
        <w:pStyle w:val="Heading2"/>
      </w:pPr>
      <w:r>
        <w:rPr>
          <w:color w:val="1B3A5B"/>
        </w:rPr>
        <w:t>VI — Achados forenses</w:t>
      </w:r>
    </w:p>
    <w:p>
      <w:r>
        <w:rPr>
          <w:b/>
          <w:color w:val="B00020"/>
          <w:sz w:val="20"/>
        </w:rPr>
        <w:t xml:space="preserve">AF-1 · INADIMPLÊNCIA SUBSTANCIAL CONTUMAZ — </w:t>
      </w:r>
      <w:r>
        <w:rPr>
          <w:sz w:val="20"/>
        </w:rPr>
        <w:t>77% (R$ 716,7 mil) do devido nominal em 18 meses não foi pago via PIX direto. Risco de prisão civil (CPC art. 528 §3º).</w:t>
      </w:r>
    </w:p>
    <w:p>
      <w:r>
        <w:rPr>
          <w:b/>
          <w:color w:val="B00020"/>
          <w:sz w:val="20"/>
        </w:rPr>
        <w:t xml:space="preserve">AF-2 · CONCENTRAÇÃO TARDIA — </w:t>
      </w:r>
      <w:r>
        <w:rPr>
          <w:sz w:val="20"/>
        </w:rPr>
        <w:t>todos os 7 PIX de Ari ocorreram entre 23/01/2026 e 09/06/2026, após 12 meses iniciais sem pagamento direto.</w:t>
      </w:r>
    </w:p>
    <w:p>
      <w:r>
        <w:rPr>
          <w:b/>
          <w:color w:val="B00020"/>
          <w:sz w:val="20"/>
        </w:rPr>
        <w:t xml:space="preserve">AF-3 · DIVERGÊNCIA COM IRPF — </w:t>
      </w:r>
      <w:r>
        <w:rPr>
          <w:sz w:val="20"/>
        </w:rPr>
        <w:t>Ari declarou em DIRPF 2024 (Doc 67) pagamento integral de R$ 44.000/mês; extratos demonstram shortfall de R$ 577,9 mil em 18 meses mesmo nessa hipótese (73%).</w:t>
      </w:r>
    </w:p>
    <w:p>
      <w:r>
        <w:rPr>
          <w:b/>
          <w:color w:val="B00020"/>
          <w:sz w:val="20"/>
        </w:rPr>
        <w:t xml:space="preserve">AF-4 · AUSÊNCIA DE COMPENSAÇÃO POR CONTA JUDICIAL — </w:t>
      </w:r>
      <w:r>
        <w:rPr>
          <w:sz w:val="20"/>
        </w:rPr>
        <w:t>Doc 72: zero transferências de conta judicial à conta corrente, mesmo com R$ 84,8 MM identificados e R$ 42,4 MM bloqueados em SISBAJUD.</w:t>
      </w:r>
    </w:p>
    <w:p>
      <w:r>
        <w:rPr>
          <w:b/>
          <w:color w:val="B00020"/>
          <w:sz w:val="20"/>
        </w:rPr>
        <w:t xml:space="preserve">AF-5 · POTENCIAL ABANDONO MATERIAL — </w:t>
      </w:r>
      <w:r>
        <w:rPr>
          <w:sz w:val="20"/>
        </w:rPr>
        <w:t>configuração potencial CP art. 244, sem prejuízo da avaliação penal pela autoridade competente.</w:t>
      </w:r>
    </w:p>
    <w:p/>
    <w:p>
      <w:pPr>
        <w:pStyle w:val="Heading2"/>
      </w:pPr>
      <w:r>
        <w:rPr>
          <w:color w:val="1B3A5B"/>
        </w:rPr>
        <w:t>Reserva técnica</w:t>
      </w:r>
    </w:p>
    <w:p>
      <w:r>
        <w:rPr>
          <w:i/>
          <w:color w:val="444444"/>
          <w:sz w:val="18"/>
        </w:rPr>
        <w:t>Cálculo elaborado com base nas premissas declaradas pela constituinte. Pagamentos efetivamente recebidos via PIX direto extraídos do Doc 72. NÃO considerados aqui pagamento extra-PIX, nem valores SISBAJUD bloqueados (R$ 42,4 MM · Doc 64) que poderiam compensar parte do shortfall se transferidos. Atualização monetária aproximada — para fim executório, cálculo final deve ser elaborado por contador credenciado. Instrumento técnico de apoio (CPC art. 472), não substitui laudo CRC. Patronos: Dra. Michele P. Hilgenberg (OAB/SC 41.607) + Dr. Luiz Carlos Guieseler Junior (OAB/PR 44.937) · procuração matriz de 03/06/2026 (gov.br) · fls. 1065 da guarda. CPC art. 112. Anexa-se ao acervo 00-73 como Doc 74 — sucede o Doc 73.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