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0020"/>
          <w:sz w:val="18"/>
        </w:rPr>
        <w:t>CONFIDENCIAL · USO RESTRITO DA EQUIPE · INSTRUMENTO TÉCNICO DE APOIO (CPC art. 472)</w:t>
      </w:r>
    </w:p>
    <w:p>
      <w:pPr>
        <w:spacing w:before="400"/>
        <w:jc w:val="center"/>
      </w:pPr>
      <w:r>
        <w:rPr>
          <w:b/>
          <w:color w:val="1B3A5B"/>
          <w:sz w:val="36"/>
        </w:rPr>
        <w:t>Relatório Financeiro Consolidado</w:t>
      </w:r>
    </w:p>
    <w:p>
      <w:pPr>
        <w:jc w:val="center"/>
      </w:pPr>
      <w:r>
        <w:rPr>
          <w:i/>
          <w:color w:val="555555"/>
          <w:sz w:val="28"/>
        </w:rPr>
        <w:t>Pensão Alimentícia · Período de 01/01/2025 a 30/06/2026</w:t>
      </w:r>
    </w:p>
    <w:p>
      <w:pPr>
        <w:spacing w:before="280"/>
        <w:jc w:val="center"/>
      </w:pPr>
      <w:r>
        <w:rPr>
          <w:b/>
          <w:sz w:val="22"/>
        </w:rPr>
        <w:t>Devedor: Ari Gorenstein</w:t>
      </w:r>
    </w:p>
    <w:p>
      <w:pPr>
        <w:jc w:val="center"/>
      </w:pPr>
      <w:r>
        <w:rPr>
          <w:b/>
          <w:sz w:val="22"/>
        </w:rPr>
        <w:t>Credores: Millena Onesti Gorenstein, Caio Onesti Gorenstein e Maia Onesti Gorenstein</w:t>
      </w:r>
    </w:p>
    <w:p>
      <w:pPr>
        <w:jc w:val="center"/>
      </w:pPr>
      <w:r>
        <w:rPr>
          <w:i/>
          <w:color w:val="555555"/>
          <w:sz w:val="20"/>
        </w:rPr>
        <w:t>Memória elaborada conforme CC arts. 354 (imputação) e 406 (juros legais SELIC · Lei 14.905/2024)</w:t>
      </w:r>
    </w:p>
    <w:p>
      <w:pPr>
        <w:jc w:val="center"/>
      </w:pPr>
      <w:r>
        <w:rPr>
          <w:color w:val="555555"/>
          <w:sz w:val="20"/>
        </w:rPr>
        <w:t>São Paulo, junho de 2026 — versão final para revisão e protocolo</w:t>
      </w:r>
    </w:p>
    <w:p>
      <w:pPr>
        <w:spacing w:before="400" w:after="200"/>
        <w:jc w:val="center"/>
      </w:pPr>
      <w:r>
        <w:rPr>
          <w:b/>
          <w:color w:val="FFFFFF"/>
          <w:sz w:val="20"/>
        </w:rPr>
        <w:t>PASSIVO TOTAL APURADO EM 30 DE JUNHO DE 2026</w:t>
      </w:r>
    </w:p>
    <w:p>
      <w:pPr>
        <w:jc w:val="center"/>
      </w:pPr>
      <w:r>
        <w:rPr>
          <w:b/>
          <w:color w:val="FFFFFF"/>
          <w:sz w:val="40"/>
        </w:rPr>
        <w:t>R$ 799.193,77</w:t>
      </w:r>
    </w:p>
    <w:p>
      <w:pPr>
        <w:jc w:val="center"/>
      </w:pPr>
      <w:r>
        <w:rPr>
          <w:i/>
          <w:color w:val="FFFFFF"/>
          <w:sz w:val="18"/>
        </w:rPr>
        <w:t>Cenário A (apenas PIX direto) — Cenário B alternativo: R$ 535.238,01</w:t>
      </w:r>
    </w:p>
    <w:p>
      <w:r>
        <w:br w:type="page"/>
      </w:r>
    </w:p>
    <w:p>
      <w:pPr>
        <w:pStyle w:val="Heading2"/>
      </w:pPr>
      <w:r>
        <w:rPr>
          <w:color w:val="1B3A5B"/>
        </w:rPr>
        <w:t>I — Identificação do feito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5156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5156"/>
          </w:tcPr>
          <w:p>
            <w:r/>
            <w:r>
              <w:rPr>
                <w:b/>
                <w:color w:val="1B3A5B"/>
                <w:sz w:val="20"/>
              </w:rPr>
              <w:t>Título executivo (filhos)</w:t>
            </w:r>
          </w:p>
        </w:tc>
        <w:tc>
          <w:tcPr>
            <w:tcW w:type="dxa" w:w="5156"/>
          </w:tcPr>
          <w:p>
            <w:r/>
            <w:r>
              <w:rPr>
                <w:sz w:val="20"/>
              </w:rPr>
              <w:t>Sentença de 11/04/2024 · 2ª VF Pinheiros · Juiz Augusto Drummond Lepage · proc. 1006738-51.2023.8.26.0011 · fls. 1376-1382</w:t>
            </w:r>
          </w:p>
        </w:tc>
      </w:tr>
      <w:tr>
        <w:tc>
          <w:tcPr>
            <w:tcW w:type="dxa" w:w="5156"/>
          </w:tcPr>
          <w:p>
            <w:r/>
            <w:r>
              <w:rPr>
                <w:b/>
                <w:color w:val="1B3A5B"/>
                <w:sz w:val="20"/>
              </w:rPr>
              <w:t>Quantum filhos</w:t>
            </w:r>
          </w:p>
        </w:tc>
        <w:tc>
          <w:tcPr>
            <w:tcW w:type="dxa" w:w="5156"/>
          </w:tcPr>
          <w:p>
            <w:r/>
            <w:r>
              <w:rPr>
                <w:sz w:val="20"/>
              </w:rPr>
              <w:t>R$ 24.300,00 mensais + plano de saúde direto · vencimento dia 1º · desde a citação · honorários 10% sobre anuidade</w:t>
            </w:r>
          </w:p>
        </w:tc>
      </w:tr>
      <w:tr>
        <w:tc>
          <w:tcPr>
            <w:tcW w:type="dxa" w:w="5156"/>
          </w:tcPr>
          <w:p>
            <w:r/>
            <w:r>
              <w:rPr>
                <w:b/>
                <w:color w:val="1B3A5B"/>
                <w:sz w:val="20"/>
              </w:rPr>
              <w:t>Pensão Millena</w:t>
            </w:r>
          </w:p>
        </w:tc>
        <w:tc>
          <w:tcPr>
            <w:tcW w:type="dxa" w:w="5156"/>
          </w:tcPr>
          <w:p>
            <w:r/>
            <w:r>
              <w:rPr>
                <w:sz w:val="20"/>
              </w:rPr>
              <w:t>5 SM nacional + R$ 18.400,00/mês (alinhada à menção de 'alimentos ressarcitórios 25k/mês' · fls. 1380)</w:t>
            </w:r>
          </w:p>
        </w:tc>
      </w:tr>
      <w:tr>
        <w:tc>
          <w:tcPr>
            <w:tcW w:type="dxa" w:w="5156"/>
          </w:tcPr>
          <w:p>
            <w:r/>
            <w:r>
              <w:rPr>
                <w:b/>
                <w:color w:val="1B3A5B"/>
                <w:sz w:val="20"/>
              </w:rPr>
              <w:t>Conta de recebimento</w:t>
            </w:r>
          </w:p>
        </w:tc>
        <w:tc>
          <w:tcPr>
            <w:tcW w:type="dxa" w:w="5156"/>
          </w:tcPr>
          <w:p>
            <w:r/>
            <w:r>
              <w:rPr>
                <w:sz w:val="20"/>
              </w:rPr>
              <w:t>Bradesco · Ag. 884 · Cta. 190534-1 · Millena Onesti Gorenstein</w:t>
            </w:r>
          </w:p>
        </w:tc>
      </w:tr>
      <w:tr>
        <w:tc>
          <w:tcPr>
            <w:tcW w:type="dxa" w:w="5156"/>
          </w:tcPr>
          <w:p>
            <w:r/>
            <w:r>
              <w:rPr>
                <w:b/>
                <w:color w:val="1B3A5B"/>
                <w:sz w:val="20"/>
              </w:rPr>
              <w:t>Período sob análise</w:t>
            </w:r>
          </w:p>
        </w:tc>
        <w:tc>
          <w:tcPr>
            <w:tcW w:type="dxa" w:w="5156"/>
          </w:tcPr>
          <w:p>
            <w:r/>
            <w:r>
              <w:rPr>
                <w:sz w:val="20"/>
              </w:rPr>
              <w:t>01/01/2025 a 30/06/2026 — 18 competências</w:t>
            </w:r>
          </w:p>
        </w:tc>
      </w:tr>
      <w:tr>
        <w:tc>
          <w:tcPr>
            <w:tcW w:type="dxa" w:w="5156"/>
          </w:tcPr>
          <w:p>
            <w:r/>
            <w:r>
              <w:rPr>
                <w:b/>
                <w:color w:val="1B3A5B"/>
                <w:sz w:val="20"/>
              </w:rPr>
              <w:t>Patronos atuais</w:t>
            </w:r>
          </w:p>
        </w:tc>
        <w:tc>
          <w:tcPr>
            <w:tcW w:type="dxa" w:w="5156"/>
          </w:tcPr>
          <w:p>
            <w:r/>
            <w:r>
              <w:rPr>
                <w:sz w:val="20"/>
              </w:rPr>
              <w:t>Dra. Michele P. Hilgenberg (OAB/SC 41.607) + Dr. Luiz Carlos Guieseler Junior (OAB/PR 44.937) · procuração 03/06/2026</w:t>
            </w:r>
          </w:p>
        </w:tc>
      </w:tr>
    </w:tbl>
    <w:p/>
    <w:p>
      <w:pPr>
        <w:pStyle w:val="Heading2"/>
      </w:pPr>
      <w:r>
        <w:rPr>
          <w:color w:val="1B3A5B"/>
        </w:rPr>
        <w:t>II — Premissas e metodologia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343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43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2025</w:t>
            </w:r>
          </w:p>
        </w:tc>
        <w:tc>
          <w:tcPr>
            <w:tcW w:type="dxa" w:w="343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2026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Pensão Millena (5 SM + R$ 18.400)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R$ 25.990,00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R$ 26.500,00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Pensão Caio + Maia (sentença)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R$ 24.300,00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R$ 24.300,00</w:t>
            </w:r>
          </w:p>
        </w:tc>
      </w:tr>
      <w:tr>
        <w:tc>
          <w:tcPr>
            <w:tcW w:type="dxa" w:w="3438"/>
            <w:shd w:val="clear" w:color="auto" w:fill="1B3A5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Total devido por competência mensal</w:t>
            </w:r>
          </w:p>
        </w:tc>
        <w:tc>
          <w:tcPr>
            <w:tcW w:type="dxa" w:w="3438"/>
            <w:shd w:val="clear" w:color="auto" w:fill="1B3A5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R$ 50.290,00</w:t>
            </w:r>
          </w:p>
        </w:tc>
        <w:tc>
          <w:tcPr>
            <w:tcW w:type="dxa" w:w="3438"/>
            <w:shd w:val="clear" w:color="auto" w:fill="1B3A5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R$ 50.800,00</w:t>
            </w:r>
          </w:p>
        </w:tc>
      </w:tr>
    </w:tbl>
    <w:p/>
    <w:p>
      <w:r>
        <w:rPr>
          <w:b/>
          <w:color w:val="C89000"/>
          <w:sz w:val="20"/>
        </w:rPr>
        <w:t xml:space="preserve">Imputação em pagamento (CC art. 354) — </w:t>
      </w:r>
      <w:r>
        <w:rPr>
          <w:i/>
          <w:sz w:val="20"/>
        </w:rPr>
        <w:t>"Havendo capital e juros, o pagamento imputar-se-á primeiro nos juros vencidos, e depois no capital, salvo estipulação em contrário, ou se o credor passar a quitação por conta do capital."</w:t>
      </w:r>
    </w:p>
    <w:p>
      <w:r>
        <w:rPr>
          <w:b/>
          <w:color w:val="C89000"/>
          <w:sz w:val="20"/>
        </w:rPr>
        <w:t xml:space="preserve">Juros legais (CC art. 406 · Lei 14.905/2024) — </w:t>
      </w:r>
      <w:r>
        <w:rPr>
          <w:i/>
          <w:sz w:val="20"/>
        </w:rPr>
        <w:t>SELIC, equivalente mensal aproximada de 0,93% capitalizada compostamente desde o vencimento até o pagamento ou até a data de referência (30/06/2026).</w:t>
      </w:r>
    </w:p>
    <w:p>
      <w:r>
        <w:rPr>
          <w:b/>
          <w:color w:val="C89000"/>
          <w:sz w:val="20"/>
        </w:rPr>
        <w:t xml:space="preserve">Vencimento mensal — </w:t>
      </w:r>
      <w:r>
        <w:rPr>
          <w:i/>
          <w:sz w:val="20"/>
        </w:rPr>
        <w:t>dia 1º do mês conforme dispositivo da sentença (fls. 1382).</w:t>
      </w:r>
    </w:p>
    <w:p/>
    <w:p>
      <w:pPr>
        <w:pStyle w:val="Heading2"/>
      </w:pPr>
      <w:r>
        <w:rPr>
          <w:color w:val="1B3A5B"/>
        </w:rPr>
        <w:t>III — Devido total no período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Discriminação</w:t>
            </w:r>
          </w:p>
        </w:tc>
        <w:tc>
          <w:tcPr>
            <w:tcW w:type="dxa" w:w="5156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R$</w:t>
            </w:r>
          </w:p>
        </w:tc>
      </w:tr>
      <w:tr>
        <w:tc>
          <w:tcPr>
            <w:tcW w:type="dxa" w:w="5156"/>
          </w:tcPr>
          <w:p>
            <w:r/>
            <w:r>
              <w:rPr>
                <w:sz w:val="20"/>
              </w:rPr>
              <w:t>12 competências de 2025 × R$ 50.290,00</w:t>
            </w:r>
          </w:p>
        </w:tc>
        <w:tc>
          <w:tcPr>
            <w:tcW w:type="dxa" w:w="5156"/>
          </w:tcPr>
          <w:p>
            <w:r/>
            <w:r>
              <w:rPr>
                <w:sz w:val="20"/>
              </w:rPr>
              <w:t>603.480,00</w:t>
            </w:r>
          </w:p>
        </w:tc>
      </w:tr>
      <w:tr>
        <w:tc>
          <w:tcPr>
            <w:tcW w:type="dxa" w:w="5156"/>
          </w:tcPr>
          <w:p>
            <w:r/>
            <w:r>
              <w:rPr>
                <w:sz w:val="20"/>
              </w:rPr>
              <w:t>6 competências de 2026 × R$ 50.800,00</w:t>
            </w:r>
          </w:p>
        </w:tc>
        <w:tc>
          <w:tcPr>
            <w:tcW w:type="dxa" w:w="5156"/>
          </w:tcPr>
          <w:p>
            <w:r/>
            <w:r>
              <w:rPr>
                <w:sz w:val="20"/>
              </w:rPr>
              <w:t>304.800,00</w:t>
            </w:r>
          </w:p>
        </w:tc>
      </w:tr>
      <w:tr>
        <w:tc>
          <w:tcPr>
            <w:tcW w:type="dxa" w:w="5156"/>
            <w:shd w:val="clear" w:color="auto" w:fill="1B3A5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Devido total nominal</w:t>
            </w:r>
          </w:p>
        </w:tc>
        <w:tc>
          <w:tcPr>
            <w:tcW w:type="dxa" w:w="5156"/>
            <w:shd w:val="clear" w:color="auto" w:fill="1B3A5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908.280,00</w:t>
            </w:r>
          </w:p>
        </w:tc>
      </w:tr>
    </w:tbl>
    <w:p/>
    <w:p>
      <w:pPr>
        <w:pStyle w:val="Heading2"/>
      </w:pPr>
      <w:r>
        <w:rPr>
          <w:color w:val="1B3A5B"/>
        </w:rPr>
        <w:t>IV — Pagamentos recebidos (de Ari)</w:t>
      </w:r>
    </w:p>
    <w:p>
      <w:r>
        <w:rPr>
          <w:b/>
          <w:color w:val="B00020"/>
          <w:sz w:val="22"/>
        </w:rPr>
        <w:t>IV.A — PIX diretos (Cenário 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343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343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Remetente</w:t>
            </w:r>
          </w:p>
        </w:tc>
        <w:tc>
          <w:tcPr>
            <w:tcW w:type="dxa" w:w="343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R$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23/01/2026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Ari Gorenstein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78.521,53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01/04/2026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Ari Gorenstein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50.000,00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01/04/2026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Ari Gorenstein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23.807,55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04/05/2026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Ari Gorenstein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24.300,00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04/05/2026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Ari Gorenstein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6.600,00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03/06/2026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Ari Gorenstein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24.300,00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09/06/2026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Ari Gorenstein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6.600,00</w:t>
            </w:r>
          </w:p>
        </w:tc>
      </w:tr>
      <w:tr>
        <w:tc>
          <w:tcPr>
            <w:tcW w:type="dxa" w:w="3438"/>
            <w:shd w:val="clear" w:color="auto" w:fill="1B3A5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Total PIX direto (Cenário A)</w:t>
            </w:r>
          </w:p>
        </w:tc>
        <w:tc>
          <w:tcPr>
            <w:tcW w:type="dxa" w:w="3438"/>
            <w:shd w:val="clear" w:color="auto" w:fill="1B3A5B"/>
          </w:tcPr>
          <w:p/>
        </w:tc>
        <w:tc>
          <w:tcPr>
            <w:tcW w:type="dxa" w:w="3438"/>
            <w:shd w:val="clear" w:color="auto" w:fill="1B3A5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214.129,08</w:t>
            </w:r>
          </w:p>
        </w:tc>
      </w:tr>
    </w:tbl>
    <w:p/>
    <w:p>
      <w:r>
        <w:rPr>
          <w:b/>
          <w:color w:val="C89000"/>
          <w:sz w:val="22"/>
        </w:rPr>
        <w:t>IV.B — Recebimentos via advogados (Cenário B · a confirmar)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257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Remetente</w:t>
            </w:r>
          </w:p>
        </w:tc>
        <w:tc>
          <w:tcPr>
            <w:tcW w:type="dxa" w:w="257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57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R$</w:t>
            </w:r>
          </w:p>
        </w:tc>
      </w:tr>
      <w:tr>
        <w:tc>
          <w:tcPr>
            <w:tcW w:type="dxa" w:w="2578"/>
          </w:tcPr>
          <w:p>
            <w:r/>
            <w:r>
              <w:rPr>
                <w:sz w:val="20"/>
              </w:rPr>
              <w:t>04/04/2025</w:t>
            </w:r>
          </w:p>
        </w:tc>
        <w:tc>
          <w:tcPr>
            <w:tcW w:type="dxa" w:w="2578"/>
          </w:tcPr>
          <w:p>
            <w:r/>
            <w:r>
              <w:rPr>
                <w:sz w:val="20"/>
              </w:rPr>
              <w:t>Cantagallo &amp; Cantagal</w:t>
            </w:r>
          </w:p>
        </w:tc>
        <w:tc>
          <w:tcPr>
            <w:tcW w:type="dxa" w:w="2578"/>
          </w:tcPr>
          <w:p>
            <w:r/>
            <w:r>
              <w:rPr>
                <w:sz w:val="20"/>
              </w:rPr>
              <w:t>PIX</w:t>
            </w:r>
          </w:p>
        </w:tc>
        <w:tc>
          <w:tcPr>
            <w:tcW w:type="dxa" w:w="2578"/>
          </w:tcPr>
          <w:p>
            <w:r/>
            <w:r>
              <w:rPr>
                <w:sz w:val="20"/>
              </w:rPr>
              <w:t>22.710,04</w:t>
            </w:r>
          </w:p>
        </w:tc>
      </w:tr>
      <w:tr>
        <w:tc>
          <w:tcPr>
            <w:tcW w:type="dxa" w:w="2578"/>
          </w:tcPr>
          <w:p>
            <w:r/>
            <w:r>
              <w:rPr>
                <w:sz w:val="20"/>
              </w:rPr>
              <w:t>16/06/2025</w:t>
            </w:r>
          </w:p>
        </w:tc>
        <w:tc>
          <w:tcPr>
            <w:tcW w:type="dxa" w:w="2578"/>
          </w:tcPr>
          <w:p>
            <w:r/>
            <w:r>
              <w:rPr>
                <w:sz w:val="20"/>
              </w:rPr>
              <w:t>Cantagallo &amp; Cantagal</w:t>
            </w:r>
          </w:p>
        </w:tc>
        <w:tc>
          <w:tcPr>
            <w:tcW w:type="dxa" w:w="2578"/>
          </w:tcPr>
          <w:p>
            <w:r/>
            <w:r>
              <w:rPr>
                <w:sz w:val="20"/>
              </w:rPr>
              <w:t>PIX</w:t>
            </w:r>
          </w:p>
        </w:tc>
        <w:tc>
          <w:tcPr>
            <w:tcW w:type="dxa" w:w="2578"/>
          </w:tcPr>
          <w:p>
            <w:r/>
            <w:r>
              <w:rPr>
                <w:sz w:val="20"/>
              </w:rPr>
              <w:t>7.100,78</w:t>
            </w:r>
          </w:p>
        </w:tc>
      </w:tr>
      <w:tr>
        <w:tc>
          <w:tcPr>
            <w:tcW w:type="dxa" w:w="2578"/>
          </w:tcPr>
          <w:p>
            <w:r/>
            <w:r>
              <w:rPr>
                <w:sz w:val="20"/>
              </w:rPr>
              <w:t>26/06/2025</w:t>
            </w:r>
          </w:p>
        </w:tc>
        <w:tc>
          <w:tcPr>
            <w:tcW w:type="dxa" w:w="2578"/>
          </w:tcPr>
          <w:p>
            <w:r/>
            <w:r>
              <w:rPr>
                <w:sz w:val="20"/>
              </w:rPr>
              <w:t>Cantagallo &amp; Cantagal</w:t>
            </w:r>
          </w:p>
        </w:tc>
        <w:tc>
          <w:tcPr>
            <w:tcW w:type="dxa" w:w="2578"/>
          </w:tcPr>
          <w:p>
            <w:r/>
            <w:r>
              <w:rPr>
                <w:sz w:val="20"/>
              </w:rPr>
              <w:t>TED</w:t>
            </w:r>
          </w:p>
        </w:tc>
        <w:tc>
          <w:tcPr>
            <w:tcW w:type="dxa" w:w="2578"/>
          </w:tcPr>
          <w:p>
            <w:r/>
            <w:r>
              <w:rPr>
                <w:sz w:val="20"/>
              </w:rPr>
              <w:t>88.068,75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sz w:val="20"/>
              </w:rPr>
              <w:t>16/10/2025</w:t>
            </w:r>
          </w:p>
        </w:tc>
        <w:tc>
          <w:tcPr>
            <w:tcW w:type="dxa" w:w="2578"/>
          </w:tcPr>
          <w:p>
            <w:r/>
            <w:r>
              <w:rPr>
                <w:sz w:val="20"/>
              </w:rPr>
              <w:t>Fabio Corrêa Eleutério</w:t>
            </w:r>
          </w:p>
        </w:tc>
        <w:tc>
          <w:tcPr>
            <w:tcW w:type="dxa" w:w="2578"/>
          </w:tcPr>
          <w:p>
            <w:r/>
            <w:r>
              <w:rPr>
                <w:sz w:val="20"/>
              </w:rPr>
              <w:t>TED</w:t>
            </w:r>
          </w:p>
        </w:tc>
        <w:tc>
          <w:tcPr>
            <w:tcW w:type="dxa" w:w="2578"/>
          </w:tcPr>
          <w:p>
            <w:r/>
            <w:r>
              <w:rPr>
                <w:sz w:val="20"/>
              </w:rPr>
              <w:t>74.293,24</w:t>
            </w:r>
          </w:p>
        </w:tc>
      </w:tr>
      <w:tr>
        <w:tc>
          <w:tcPr>
            <w:tcW w:type="dxa" w:w="2578"/>
          </w:tcPr>
          <w:p>
            <w:r/>
            <w:r>
              <w:rPr>
                <w:sz w:val="20"/>
              </w:rPr>
              <w:t>23/10/2025</w:t>
            </w:r>
          </w:p>
        </w:tc>
        <w:tc>
          <w:tcPr>
            <w:tcW w:type="dxa" w:w="2578"/>
          </w:tcPr>
          <w:p>
            <w:r/>
            <w:r>
              <w:rPr>
                <w:sz w:val="20"/>
              </w:rPr>
              <w:t>Fabio Corrêa Eleutério</w:t>
            </w:r>
          </w:p>
        </w:tc>
        <w:tc>
          <w:tcPr>
            <w:tcW w:type="dxa" w:w="2578"/>
          </w:tcPr>
          <w:p>
            <w:r/>
            <w:r>
              <w:rPr>
                <w:sz w:val="20"/>
              </w:rPr>
              <w:t>TED</w:t>
            </w:r>
          </w:p>
        </w:tc>
        <w:tc>
          <w:tcPr>
            <w:tcW w:type="dxa" w:w="2578"/>
          </w:tcPr>
          <w:p>
            <w:r/>
            <w:r>
              <w:rPr>
                <w:sz w:val="20"/>
              </w:rPr>
              <w:t>46.982,97</w:t>
            </w:r>
          </w:p>
        </w:tc>
      </w:tr>
      <w:tr>
        <w:tc>
          <w:tcPr>
            <w:tcW w:type="dxa" w:w="2578"/>
            <w:shd w:val="clear" w:color="auto" w:fill="1B3A5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Total via advogados</w:t>
            </w:r>
          </w:p>
        </w:tc>
        <w:tc>
          <w:tcPr>
            <w:tcW w:type="dxa" w:w="2578"/>
            <w:shd w:val="clear" w:color="auto" w:fill="1B3A5B"/>
          </w:tcPr>
          <w:p/>
        </w:tc>
        <w:tc>
          <w:tcPr>
            <w:tcW w:type="dxa" w:w="2578"/>
            <w:shd w:val="clear" w:color="auto" w:fill="1B3A5B"/>
          </w:tcPr>
          <w:p/>
        </w:tc>
        <w:tc>
          <w:tcPr>
            <w:tcW w:type="dxa" w:w="2578"/>
            <w:shd w:val="clear" w:color="auto" w:fill="1B3A5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239.155,78</w:t>
            </w:r>
          </w:p>
        </w:tc>
      </w:tr>
    </w:tbl>
    <w:p/>
    <w:p>
      <w:pPr>
        <w:pStyle w:val="Heading2"/>
      </w:pPr>
      <w:r>
        <w:rPr>
          <w:color w:val="1B3A5B"/>
        </w:rPr>
        <w:t>V — Cronologia mensal · Cenário A (amortização CC 354)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Competência</w:t>
            </w:r>
          </w:p>
        </w:tc>
        <w:tc>
          <w:tcPr>
            <w:tcW w:type="dxa" w:w="147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Devido</w:t>
            </w:r>
          </w:p>
        </w:tc>
        <w:tc>
          <w:tcPr>
            <w:tcW w:type="dxa" w:w="147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Principal pago</w:t>
            </w:r>
          </w:p>
        </w:tc>
        <w:tc>
          <w:tcPr>
            <w:tcW w:type="dxa" w:w="147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Juros pagos</w:t>
            </w:r>
          </w:p>
        </w:tc>
        <w:tc>
          <w:tcPr>
            <w:tcW w:type="dxa" w:w="147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Principal rem.</w:t>
            </w:r>
          </w:p>
        </w:tc>
        <w:tc>
          <w:tcPr>
            <w:tcW w:type="dxa" w:w="147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Juros acum.</w:t>
            </w:r>
          </w:p>
        </w:tc>
        <w:tc>
          <w:tcPr>
            <w:tcW w:type="dxa" w:w="147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01/2025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5.965,52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Quitada</w:t>
            </w:r>
          </w:p>
        </w:tc>
      </w:tr>
      <w:tr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02/2025</w:t>
            </w:r>
          </w:p>
        </w:tc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17.427,73</w:t>
            </w:r>
          </w:p>
        </w:tc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4.838,28</w:t>
            </w:r>
          </w:p>
        </w:tc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32.862,27</w:t>
            </w:r>
          </w:p>
        </w:tc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5.518,71</w:t>
            </w:r>
          </w:p>
        </w:tc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Parcial</w:t>
            </w:r>
          </w:p>
        </w:tc>
      </w:tr>
      <w:tr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03/2025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8.016,51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Em aberto</w:t>
            </w:r>
          </w:p>
        </w:tc>
      </w:tr>
      <w:tr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04/2025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7.447,21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Em aberto</w:t>
            </w:r>
          </w:p>
        </w:tc>
      </w:tr>
      <w:tr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05/2025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6.883,21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Em aberto</w:t>
            </w:r>
          </w:p>
        </w:tc>
      </w:tr>
      <w:tr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06/2025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6.324,44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Em aberto</w:t>
            </w:r>
          </w:p>
        </w:tc>
      </w:tr>
      <w:tr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07/2025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5.771,77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Em aberto</w:t>
            </w:r>
          </w:p>
        </w:tc>
      </w:tr>
      <w:tr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08/2025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5.224,18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Em aberto</w:t>
            </w:r>
          </w:p>
        </w:tc>
      </w:tr>
      <w:tr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09/2025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4.680,84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Em aberto</w:t>
            </w:r>
          </w:p>
        </w:tc>
      </w:tr>
      <w:tr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10/2025</w:t>
            </w:r>
          </w:p>
        </w:tc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19.835,55</w:t>
            </w:r>
          </w:p>
        </w:tc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3.350,11</w:t>
            </w:r>
          </w:p>
        </w:tc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30.454,45</w:t>
            </w:r>
          </w:p>
        </w:tc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2.401,57</w:t>
            </w:r>
          </w:p>
        </w:tc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Parcial</w:t>
            </w:r>
          </w:p>
        </w:tc>
      </w:tr>
      <w:tr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11/2025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3.607,12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Em aberto</w:t>
            </w:r>
          </w:p>
        </w:tc>
      </w:tr>
      <w:tr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12/2025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50.290,00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3.078,53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Em aberto</w:t>
            </w:r>
          </w:p>
        </w:tc>
      </w:tr>
      <w:tr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01/2026</w:t>
            </w:r>
          </w:p>
        </w:tc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50.800,00</w:t>
            </w:r>
          </w:p>
        </w:tc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26.595,15</w:t>
            </w:r>
          </w:p>
        </w:tc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7.350,87</w:t>
            </w:r>
          </w:p>
        </w:tc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24.204,85</w:t>
            </w:r>
          </w:p>
        </w:tc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1.184,01</w:t>
            </w:r>
          </w:p>
        </w:tc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Parcial</w:t>
            </w:r>
          </w:p>
        </w:tc>
      </w:tr>
      <w:tr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02/2026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50.800,00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50.800,00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2.385,38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Em aberto</w:t>
            </w:r>
          </w:p>
        </w:tc>
      </w:tr>
      <w:tr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03/2026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50.800,00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50.800,00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1.892,32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Em aberto</w:t>
            </w:r>
          </w:p>
        </w:tc>
      </w:tr>
      <w:tr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04/2026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50.800,00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53.485,52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5.180,15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EEF6F0"/>
          </w:tcPr>
          <w:p>
            <w:r/>
            <w:r>
              <w:rPr>
                <w:sz w:val="17"/>
              </w:rPr>
              <w:t>Quitada</w:t>
            </w:r>
          </w:p>
        </w:tc>
      </w:tr>
      <w:tr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05/2026</w:t>
            </w:r>
          </w:p>
        </w:tc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50.800,00</w:t>
            </w:r>
          </w:p>
        </w:tc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19.810,00</w:t>
            </w:r>
          </w:p>
        </w:tc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0,20</w:t>
            </w:r>
          </w:p>
        </w:tc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30.990,00</w:t>
            </w:r>
          </w:p>
        </w:tc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320,31</w:t>
            </w:r>
          </w:p>
        </w:tc>
        <w:tc>
          <w:tcPr>
            <w:tcW w:type="dxa" w:w="1473"/>
            <w:shd w:val="clear" w:color="auto" w:fill="FFF8E1"/>
          </w:tcPr>
          <w:p>
            <w:r/>
            <w:r>
              <w:rPr>
                <w:sz w:val="17"/>
              </w:rPr>
              <w:t>Parcial</w:t>
            </w:r>
          </w:p>
        </w:tc>
      </w:tr>
      <w:tr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06/2026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50.800,00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50.800,00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498,28</w:t>
            </w:r>
          </w:p>
        </w:tc>
        <w:tc>
          <w:tcPr>
            <w:tcW w:type="dxa" w:w="1473"/>
            <w:shd w:val="clear" w:color="auto" w:fill="FDECEF"/>
          </w:tcPr>
          <w:p>
            <w:r/>
            <w:r>
              <w:rPr>
                <w:sz w:val="17"/>
              </w:rPr>
              <w:t>Em aberto</w:t>
            </w:r>
          </w:p>
        </w:tc>
      </w:tr>
      <w:tr>
        <w:tc>
          <w:tcPr>
            <w:tcW w:type="dxa" w:w="1473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TOTAIS</w:t>
            </w:r>
          </w:p>
        </w:tc>
        <w:tc>
          <w:tcPr>
            <w:tcW w:type="dxa" w:w="1473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908.280,00</w:t>
            </w:r>
          </w:p>
        </w:tc>
        <w:tc>
          <w:tcPr>
            <w:tcW w:type="dxa" w:w="1473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187.443,95</w:t>
            </w:r>
          </w:p>
        </w:tc>
        <w:tc>
          <w:tcPr>
            <w:tcW w:type="dxa" w:w="1473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26.685,13</w:t>
            </w:r>
          </w:p>
        </w:tc>
        <w:tc>
          <w:tcPr>
            <w:tcW w:type="dxa" w:w="1473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720.836,05</w:t>
            </w:r>
          </w:p>
        </w:tc>
        <w:tc>
          <w:tcPr>
            <w:tcW w:type="dxa" w:w="1473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51.698,46</w:t>
            </w:r>
          </w:p>
        </w:tc>
        <w:tc>
          <w:tcPr>
            <w:tcW w:type="dxa" w:w="1473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color w:val="1B3A5B"/>
        </w:rPr>
        <w:t>VI — Saúde não reembolsada</w:t>
      </w:r>
    </w:p>
    <w:p>
      <w:r>
        <w:rPr>
          <w:sz w:val="20"/>
        </w:rPr>
        <w:t xml:space="preserve">A sentença determinou expressamente o </w:t>
      </w:r>
      <w:r>
        <w:rPr>
          <w:b/>
          <w:sz w:val="20"/>
        </w:rPr>
        <w:t>pagamento direto do plano de saúde dos filhos</w:t>
      </w:r>
      <w:r>
        <w:rPr>
          <w:sz w:val="20"/>
        </w:rPr>
        <w:t xml:space="preserve"> pelo alimentante. O último crédito identificado oriundo de reembolso Porto Seguro na conta corrente da Sra. Millena ocorreu em </w:t>
      </w:r>
      <w:r>
        <w:rPr>
          <w:b/>
          <w:sz w:val="20"/>
        </w:rPr>
        <w:t>02/02/2026 (R$ 900,00 · doc. 1629235)</w:t>
      </w:r>
      <w:r>
        <w:rPr>
          <w:sz w:val="20"/>
        </w:rPr>
        <w:t>. A partir dessa data, foram pagas diretamente pela alimentada 16 notas fiscais, totalizando R$ 25.900,00 sem ressarcimento.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343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Prestador</w:t>
            </w:r>
          </w:p>
        </w:tc>
        <w:tc>
          <w:tcPr>
            <w:tcW w:type="dxa" w:w="343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Qt. NFs</w:t>
            </w:r>
          </w:p>
        </w:tc>
        <w:tc>
          <w:tcPr>
            <w:tcW w:type="dxa" w:w="343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R$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Maria Inês Giora (psicanálise · Caio + Milena)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18.000,00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Elaine Cristina R. Misiti (psicoterapia · Maia)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4.500,00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CIDEP · Dr. Procopio Calliari (endocrino. ped. CID E34)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3.400,00</w:t>
            </w:r>
          </w:p>
        </w:tc>
      </w:tr>
      <w:tr>
        <w:tc>
          <w:tcPr>
            <w:tcW w:type="dxa" w:w="3438"/>
            <w:shd w:val="clear" w:color="auto" w:fill="1B3A5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Total principal</w:t>
            </w:r>
          </w:p>
        </w:tc>
        <w:tc>
          <w:tcPr>
            <w:tcW w:type="dxa" w:w="3438"/>
            <w:shd w:val="clear" w:color="auto" w:fill="1B3A5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16</w:t>
            </w:r>
          </w:p>
        </w:tc>
        <w:tc>
          <w:tcPr>
            <w:tcW w:type="dxa" w:w="3438"/>
            <w:shd w:val="clear" w:color="auto" w:fill="1B3A5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25.900,00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+ Juros SELIC acumulados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759,26</w:t>
            </w:r>
          </w:p>
        </w:tc>
      </w:tr>
      <w:tr>
        <w:tc>
          <w:tcPr>
            <w:tcW w:type="dxa" w:w="3438"/>
            <w:shd w:val="clear" w:color="auto" w:fill="1B3A5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Saldo saúde a 30/06/2026</w:t>
            </w:r>
          </w:p>
        </w:tc>
        <w:tc>
          <w:tcPr>
            <w:tcW w:type="dxa" w:w="3438"/>
            <w:shd w:val="clear" w:color="auto" w:fill="1B3A5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—</w:t>
            </w:r>
          </w:p>
        </w:tc>
        <w:tc>
          <w:tcPr>
            <w:tcW w:type="dxa" w:w="3438"/>
            <w:shd w:val="clear" w:color="auto" w:fill="1B3A5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26.659,26</w:t>
            </w:r>
          </w:p>
        </w:tc>
      </w:tr>
    </w:tbl>
    <w:p/>
    <w:p>
      <w:pPr>
        <w:pStyle w:val="Heading2"/>
      </w:pPr>
      <w:r>
        <w:rPr>
          <w:color w:val="1B3A5B"/>
        </w:rPr>
        <w:t>VII — Síntese do passivo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343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Rubrica</w:t>
            </w:r>
          </w:p>
        </w:tc>
        <w:tc>
          <w:tcPr>
            <w:tcW w:type="dxa" w:w="343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Cenário A (recomendado)</w:t>
            </w:r>
          </w:p>
        </w:tc>
        <w:tc>
          <w:tcPr>
            <w:tcW w:type="dxa" w:w="343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Cenário B (a confirmar)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Principal remanescente · alimentar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R$ 720.836,05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R$ 486.648,25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Juros SELIC acumulados · alimentar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R$ 51.698,46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R$ 21.930,50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Principal · saúde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R$ 25.900,00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R$ 25.900,00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Juros SELIC acumulados · saúde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R$ 759,26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R$ 759,26</w:t>
            </w:r>
          </w:p>
        </w:tc>
      </w:tr>
      <w:tr>
        <w:tc>
          <w:tcPr>
            <w:tcW w:type="dxa" w:w="3438"/>
            <w:shd w:val="clear" w:color="auto" w:fill="B0002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PASSIVO TOTAL ATUALIZADO 30/06/2026</w:t>
            </w:r>
          </w:p>
        </w:tc>
        <w:tc>
          <w:tcPr>
            <w:tcW w:type="dxa" w:w="3438"/>
            <w:shd w:val="clear" w:color="auto" w:fill="B0002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R$ 799.193,77</w:t>
            </w:r>
          </w:p>
        </w:tc>
        <w:tc>
          <w:tcPr>
            <w:tcW w:type="dxa" w:w="3438"/>
            <w:shd w:val="clear" w:color="auto" w:fill="B0002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R$ 535.238,01</w:t>
            </w:r>
          </w:p>
        </w:tc>
      </w:tr>
    </w:tbl>
    <w:p/>
    <w:p>
      <w:pPr>
        <w:pStyle w:val="Heading2"/>
      </w:pPr>
      <w:r>
        <w:rPr>
          <w:color w:val="B00020"/>
        </w:rPr>
        <w:t>VIII — Fator insegurança (relevância qualitativa)</w:t>
      </w:r>
    </w:p>
    <w:p>
      <w:r>
        <w:rPr>
          <w:b/>
          <w:color w:val="B00020"/>
          <w:sz w:val="21"/>
        </w:rPr>
        <w:t xml:space="preserve">1. </w:t>
      </w:r>
      <w:r>
        <w:rPr>
          <w:sz w:val="21"/>
        </w:rPr>
        <w:t>Entre 01/01/2025 e 22/01/2026 — durante 387 dias corridos — a alimentada não recebeu sequer um centavo proveniente diretamente do alimentante.</w:t>
      </w:r>
    </w:p>
    <w:p>
      <w:r>
        <w:rPr>
          <w:b/>
          <w:color w:val="B00020"/>
          <w:sz w:val="21"/>
        </w:rPr>
        <w:t xml:space="preserve">2. </w:t>
      </w:r>
      <w:r>
        <w:rPr>
          <w:sz w:val="21"/>
        </w:rPr>
        <w:t>Quando vieram, os 7 pagamentos diretos ocorreram em apenas 4 datas isoladas (23/01, 01/04, 04-05/05, 03-09/06 de 2026), sem cronograma, sem aviso prévio e em valores arbitrários.</w:t>
      </w:r>
    </w:p>
    <w:p>
      <w:r>
        <w:rPr>
          <w:b/>
          <w:color w:val="B00020"/>
          <w:sz w:val="21"/>
        </w:rPr>
        <w:t xml:space="preserve">3. </w:t>
      </w:r>
      <w:r>
        <w:rPr>
          <w:sz w:val="21"/>
        </w:rPr>
        <w:t>Despesas fixas mensais superam R$ 30.000,00 e correm em débito automático, sem tolerância à inadimplência do alimentante.</w:t>
      </w:r>
    </w:p>
    <w:p>
      <w:r>
        <w:rPr>
          <w:b/>
          <w:color w:val="B00020"/>
          <w:sz w:val="21"/>
        </w:rPr>
        <w:t xml:space="preserve">4. </w:t>
      </w:r>
      <w:r>
        <w:rPr>
          <w:sz w:val="21"/>
        </w:rPr>
        <w:t>Para sustentar os filhos, a alimentada resgatou R$ 677.857,67 do próprio Plano Vida e Previdência em 9 saques (dano distinto · ação cível autônoma).</w:t>
      </w:r>
    </w:p>
    <w:p>
      <w:r>
        <w:rPr>
          <w:b/>
          <w:color w:val="B00020"/>
          <w:sz w:val="21"/>
        </w:rPr>
        <w:t xml:space="preserve">5. </w:t>
      </w:r>
      <w:r>
        <w:rPr>
          <w:sz w:val="21"/>
        </w:rPr>
        <w:t>O alimentante conhece exatamente o quantum: os PIX de 04/05 e 03/06/2026 são em valor matematicamente idêntico ao da sentença. Não há equívoco — há opção deliberada.</w:t>
      </w:r>
    </w:p>
    <w:p>
      <w:r>
        <w:rPr>
          <w:b/>
          <w:color w:val="B00020"/>
          <w:sz w:val="21"/>
        </w:rPr>
        <w:t xml:space="preserve">6. </w:t>
      </w:r>
      <w:r>
        <w:rPr>
          <w:sz w:val="21"/>
        </w:rPr>
        <w:t>O cenário configura, em tese, violência patrimonial (LMP art. 7º, IV): a alimentada apenas vê o dinheiro saindo de sua conta em débitos automáticos contínuos, enquanto o crédito do alimentante não chega ou chega de forma arbitrária.</w:t>
      </w:r>
    </w:p>
    <w:p/>
    <w:p>
      <w:pPr>
        <w:pStyle w:val="Heading2"/>
      </w:pPr>
      <w:r>
        <w:rPr>
          <w:color w:val="1B3A5B"/>
        </w:rPr>
        <w:t>IX — Capacidade econômica do alimentante (sentença)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343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Elemento patrimonial</w:t>
            </w:r>
          </w:p>
        </w:tc>
        <w:tc>
          <w:tcPr>
            <w:tcW w:type="dxa" w:w="343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3438"/>
            <w:shd w:val="clear" w:color="auto" w:fill="1B3A5B"/>
          </w:tcPr>
          <w:p>
            <w:r/>
            <w:r>
              <w:rPr>
                <w:b/>
                <w:color w:val="FFFFFF"/>
                <w:sz w:val="20"/>
              </w:rPr>
              <w:t>Fonte (fls.)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DIRPF 2021 → 2022</w:t>
            </w:r>
          </w:p>
        </w:tc>
        <w:tc>
          <w:tcPr>
            <w:tcW w:type="dxa" w:w="3438"/>
          </w:tcPr>
          <w:p>
            <w:r/>
            <w:r>
              <w:rPr>
                <w:b/>
                <w:sz w:val="20"/>
              </w:rPr>
              <w:t>R$ 8,47 MM → R$ 32,23 MM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1380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Renda não tributável 2022</w:t>
            </w:r>
          </w:p>
        </w:tc>
        <w:tc>
          <w:tcPr>
            <w:tcW w:type="dxa" w:w="3438"/>
          </w:tcPr>
          <w:p>
            <w:r/>
            <w:r>
              <w:rPr>
                <w:b/>
                <w:sz w:val="20"/>
              </w:rPr>
              <w:t>R$ 1.329.826,70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1380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Ganhos de capital</w:t>
            </w:r>
          </w:p>
        </w:tc>
        <w:tc>
          <w:tcPr>
            <w:tcW w:type="dxa" w:w="3438"/>
          </w:tcPr>
          <w:p>
            <w:r/>
            <w:r>
              <w:rPr>
                <w:b/>
                <w:sz w:val="20"/>
              </w:rPr>
              <w:t>R$ 10.400.646,61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1380-1381</w:t>
            </w:r>
          </w:p>
        </w:tc>
      </w:tr>
      <w:tr>
        <w:tc>
          <w:tcPr>
            <w:tcW w:type="dxa" w:w="3438"/>
            <w:shd w:val="clear" w:color="auto" w:fill="FDECEF"/>
          </w:tcPr>
          <w:p>
            <w:r/>
            <w:r>
              <w:rPr>
                <w:sz w:val="20"/>
              </w:rPr>
              <w:t>Bloqueio SISBAJUD</w:t>
            </w:r>
          </w:p>
        </w:tc>
        <w:tc>
          <w:tcPr>
            <w:tcW w:type="dxa" w:w="3438"/>
            <w:shd w:val="clear" w:color="auto" w:fill="FDECEF"/>
          </w:tcPr>
          <w:p>
            <w:r/>
            <w:r>
              <w:rPr>
                <w:b/>
                <w:sz w:val="20"/>
              </w:rPr>
              <w:t>R$ 95.000.000,00</w:t>
            </w:r>
          </w:p>
        </w:tc>
        <w:tc>
          <w:tcPr>
            <w:tcW w:type="dxa" w:w="3438"/>
            <w:shd w:val="clear" w:color="auto" w:fill="FDECEF"/>
          </w:tcPr>
          <w:p>
            <w:r/>
            <w:r>
              <w:rPr>
                <w:sz w:val="20"/>
              </w:rPr>
              <w:t>324-332 e 1381</w:t>
            </w:r>
          </w:p>
        </w:tc>
      </w:tr>
      <w:tr>
        <w:tc>
          <w:tcPr>
            <w:tcW w:type="dxa" w:w="3438"/>
            <w:shd w:val="clear" w:color="auto" w:fill="FDECEF"/>
          </w:tcPr>
          <w:p>
            <w:r/>
            <w:r>
              <w:rPr>
                <w:sz w:val="20"/>
              </w:rPr>
              <w:t>Carteira FRAM Capital</w:t>
            </w:r>
          </w:p>
        </w:tc>
        <w:tc>
          <w:tcPr>
            <w:tcW w:type="dxa" w:w="3438"/>
            <w:shd w:val="clear" w:color="auto" w:fill="FDECEF"/>
          </w:tcPr>
          <w:p>
            <w:r/>
            <w:r>
              <w:rPr>
                <w:b/>
                <w:sz w:val="20"/>
              </w:rPr>
              <w:t>R$ 66.469.760,77</w:t>
            </w:r>
          </w:p>
        </w:tc>
        <w:tc>
          <w:tcPr>
            <w:tcW w:type="dxa" w:w="3438"/>
            <w:shd w:val="clear" w:color="auto" w:fill="FDECEF"/>
          </w:tcPr>
          <w:p>
            <w:r/>
            <w:r>
              <w:rPr>
                <w:sz w:val="20"/>
              </w:rPr>
              <w:t>1381</w:t>
            </w:r>
          </w:p>
        </w:tc>
      </w:tr>
      <w:tr>
        <w:tc>
          <w:tcPr>
            <w:tcW w:type="dxa" w:w="3438"/>
          </w:tcPr>
          <w:p>
            <w:r/>
            <w:r>
              <w:rPr>
                <w:sz w:val="20"/>
              </w:rPr>
              <w:t>E-Vino + Apoio Administrativo (2022)</w:t>
            </w:r>
          </w:p>
        </w:tc>
        <w:tc>
          <w:tcPr>
            <w:tcW w:type="dxa" w:w="3438"/>
          </w:tcPr>
          <w:p>
            <w:r/>
            <w:r>
              <w:rPr>
                <w:b/>
                <w:sz w:val="20"/>
              </w:rPr>
              <w:t>R$ 1.200.000,00</w:t>
            </w:r>
          </w:p>
        </w:tc>
        <w:tc>
          <w:tcPr>
            <w:tcW w:type="dxa" w:w="3438"/>
          </w:tcPr>
          <w:p>
            <w:r/>
            <w:r>
              <w:rPr>
                <w:sz w:val="20"/>
              </w:rPr>
              <w:t>1381</w:t>
            </w:r>
          </w:p>
        </w:tc>
      </w:tr>
    </w:tbl>
    <w:p>
      <w:r>
        <w:rPr>
          <w:sz w:val="21"/>
        </w:rPr>
        <w:t xml:space="preserve">A própria sentença concluiu — em razão dessa capacidade — pela imposição de 90% das despesas dos filhos ao alimentante. </w:t>
      </w:r>
      <w:r>
        <w:rPr>
          <w:b/>
          <w:color w:val="B00020"/>
          <w:sz w:val="21"/>
        </w:rPr>
        <w:t>Inexiste fundamento econômico para o inadimplemento.</w:t>
      </w:r>
    </w:p>
    <w:p/>
    <w:p>
      <w:pPr>
        <w:pStyle w:val="Heading2"/>
      </w:pPr>
      <w:r>
        <w:rPr>
          <w:color w:val="1B3A5B"/>
        </w:rPr>
        <w:t>X — Conclusões e providências sugeridas</w:t>
      </w:r>
    </w:p>
    <w:p>
      <w:r>
        <w:rPr>
          <w:b/>
          <w:color w:val="B00020"/>
          <w:sz w:val="21"/>
        </w:rPr>
        <w:t xml:space="preserve">C-1. </w:t>
      </w:r>
      <w:r>
        <w:rPr>
          <w:sz w:val="21"/>
        </w:rPr>
        <w:t>O passivo alimentar atualizado em 30/06/2026 totaliza R$ 799.193,77 (Cenário A, recomendado).</w:t>
      </w:r>
    </w:p>
    <w:p>
      <w:r>
        <w:rPr>
          <w:b/>
          <w:color w:val="B00020"/>
          <w:sz w:val="21"/>
        </w:rPr>
        <w:t xml:space="preserve">C-2. </w:t>
      </w:r>
      <w:r>
        <w:rPr>
          <w:sz w:val="21"/>
        </w:rPr>
        <w:t>Descumprimento contumaz da obrigação alimentar fixada por sentença, com risco de prisão civil (CPC 528 §3º), abandono material (CP 244) e violência patrimonial (LMP 7º IV).</w:t>
      </w:r>
    </w:p>
    <w:p>
      <w:r>
        <w:rPr>
          <w:b/>
          <w:color w:val="B00020"/>
          <w:sz w:val="21"/>
        </w:rPr>
        <w:t xml:space="preserve">C-3. </w:t>
      </w:r>
      <w:r>
        <w:rPr>
          <w:sz w:val="21"/>
        </w:rPr>
        <w:t>A capacidade econômica é exuberante e reconhecida judicialmente — o inadimplemento é deliberado.</w:t>
      </w:r>
    </w:p>
    <w:p/>
    <w:p>
      <w:r>
        <w:rPr>
          <w:b/>
          <w:color w:val="0A5F2E"/>
          <w:sz w:val="21"/>
        </w:rPr>
        <w:t xml:space="preserve">P-1. </w:t>
      </w:r>
      <w:r>
        <w:rPr>
          <w:sz w:val="21"/>
        </w:rPr>
        <w:t>Cumprimento de sentença pelo rito do CPC 528 (multa, protesto, prisão civil, atualização SELIC, penhora online).</w:t>
      </w:r>
    </w:p>
    <w:p>
      <w:r>
        <w:rPr>
          <w:b/>
          <w:color w:val="0A5F2E"/>
          <w:sz w:val="21"/>
        </w:rPr>
        <w:t xml:space="preserve">P-2. </w:t>
      </w:r>
      <w:r>
        <w:rPr>
          <w:sz w:val="21"/>
        </w:rPr>
        <w:t>Levantamento incidental do incontroverso R$ 66.443,47 (proc. 1007950-39.2025) + auditoria SISBAJUD R$ 42,4 MM (proc. 0001112-97.2025).</w:t>
      </w:r>
    </w:p>
    <w:p>
      <w:r>
        <w:rPr>
          <w:b/>
          <w:color w:val="0A5F2E"/>
          <w:sz w:val="21"/>
        </w:rPr>
        <w:t xml:space="preserve">P-3. </w:t>
      </w:r>
      <w:r>
        <w:rPr>
          <w:sz w:val="21"/>
        </w:rPr>
        <w:t>Medidas protetivas patrimoniais autônomas (LMP 24 · Lei 14.550/2023) perante VDFM Butantã · indisponibilidade cotas FIP Ajaccio + Bonifácio.</w:t>
      </w:r>
    </w:p>
    <w:p>
      <w:r>
        <w:rPr>
          <w:b/>
          <w:color w:val="0A5F2E"/>
          <w:sz w:val="21"/>
        </w:rPr>
        <w:t xml:space="preserve">P-4. </w:t>
      </w:r>
      <w:r>
        <w:rPr>
          <w:sz w:val="21"/>
        </w:rPr>
        <w:t>Notícia-crime ao MP por abandono material (CP 244).</w:t>
      </w:r>
    </w:p>
    <w:p>
      <w:r>
        <w:rPr>
          <w:b/>
          <w:color w:val="0A5F2E"/>
          <w:sz w:val="21"/>
        </w:rPr>
        <w:t xml:space="preserve">P-5. </w:t>
      </w:r>
      <w:r>
        <w:rPr>
          <w:sz w:val="21"/>
        </w:rPr>
        <w:t>Ofício a Cantagallo e Fabio Corrêa Eleutério para certificação da natureza dos 5 repasses.</w:t>
      </w:r>
    </w:p>
    <w:p>
      <w:r>
        <w:rPr>
          <w:b/>
          <w:color w:val="0A5F2E"/>
          <w:sz w:val="21"/>
        </w:rPr>
        <w:t xml:space="preserve">P-6. </w:t>
      </w:r>
      <w:r>
        <w:rPr>
          <w:sz w:val="21"/>
        </w:rPr>
        <w:t>Ação cível autônoma · ressarcimento do resgate da Vida e Previdência (R$ 677.857,67) + danos morais por violência patrimonial.</w:t>
      </w:r>
    </w:p>
    <w:p/>
    <w:p>
      <w:pPr>
        <w:pStyle w:val="Heading2"/>
      </w:pPr>
      <w:r>
        <w:rPr>
          <w:color w:val="C89000"/>
        </w:rPr>
        <w:t>XI — Pontos para revisão pelos Patronos</w:t>
      </w:r>
    </w:p>
    <w:p>
      <w:pPr>
        <w:pStyle w:val="ListBullet"/>
      </w:pPr>
      <w:r>
        <w:t xml:space="preserve">☐  </w:t>
      </w:r>
      <w:r>
        <w:rPr>
          <w:sz w:val="21"/>
        </w:rPr>
        <w:t>Adoção da metodologia de amortização CC 354 (juros vencidos abatidos antes do capital) e SELIC (Lei 14.905/2024)</w:t>
      </w:r>
    </w:p>
    <w:p>
      <w:pPr>
        <w:pStyle w:val="ListBullet"/>
      </w:pPr>
      <w:r>
        <w:t xml:space="preserve">☐  </w:t>
      </w:r>
      <w:r>
        <w:rPr>
          <w:sz w:val="21"/>
        </w:rPr>
        <w:t>Adoção do Cenário A (R$ 799.193,77) para protocolo, com indicação dos 5 recebimentos via adv a classificar</w:t>
      </w:r>
    </w:p>
    <w:p>
      <w:pPr>
        <w:pStyle w:val="ListBullet"/>
      </w:pPr>
      <w:r>
        <w:t xml:space="preserve">☐  </w:t>
      </w:r>
      <w:r>
        <w:rPr>
          <w:sz w:val="21"/>
        </w:rPr>
        <w:t>Vencimento mensal no dia 1º (sentença fls. 1382)</w:t>
      </w:r>
    </w:p>
    <w:p>
      <w:pPr>
        <w:pStyle w:val="ListBullet"/>
      </w:pPr>
      <w:r>
        <w:t xml:space="preserve">☐  </w:t>
      </w:r>
      <w:r>
        <w:rPr>
          <w:sz w:val="21"/>
        </w:rPr>
        <w:t>Quantum de Millena (5 SM + R$ 18.400) — confirmar contra título executivo específico</w:t>
      </w:r>
    </w:p>
    <w:p>
      <w:pPr>
        <w:pStyle w:val="ListBullet"/>
      </w:pPr>
      <w:r>
        <w:t xml:space="preserve">☐  </w:t>
      </w:r>
      <w:r>
        <w:rPr>
          <w:sz w:val="21"/>
        </w:rPr>
        <w:t>Inclusão de honorários advocatícios (10% × anuidade ≈ R$ 29.160 · sentença fls. 1382)</w:t>
      </w:r>
    </w:p>
    <w:p>
      <w:pPr>
        <w:pStyle w:val="ListBullet"/>
      </w:pPr>
      <w:r>
        <w:t xml:space="preserve">☐  </w:t>
      </w:r>
      <w:r>
        <w:rPr>
          <w:sz w:val="21"/>
        </w:rPr>
        <w:t>Inclusão de multa CPC 528 §1º</w:t>
      </w:r>
    </w:p>
    <w:p>
      <w:pPr>
        <w:pStyle w:val="ListBullet"/>
      </w:pPr>
      <w:r>
        <w:t xml:space="preserve">☐  </w:t>
      </w:r>
      <w:r>
        <w:rPr>
          <w:sz w:val="21"/>
        </w:rPr>
        <w:t>Pedido autônomo de danos morais por violência patrimonial (LMP 7º IV)</w:t>
      </w:r>
    </w:p>
    <w:p>
      <w:pPr>
        <w:pStyle w:val="ListBullet"/>
      </w:pPr>
      <w:r>
        <w:t xml:space="preserve">☐  </w:t>
      </w:r>
      <w:r>
        <w:rPr>
          <w:sz w:val="21"/>
        </w:rPr>
        <w:t>Pedido autônomo de ressarcimento do Plano Vida e Previdência (R$ 677.857,67)</w:t>
      </w:r>
    </w:p>
    <w:p>
      <w:pPr>
        <w:pStyle w:val="ListBullet"/>
      </w:pPr>
      <w:r>
        <w:t xml:space="preserve">☐  </w:t>
      </w:r>
      <w:r>
        <w:rPr>
          <w:sz w:val="21"/>
        </w:rPr>
        <w:t>Foro de execução: 1ª VFS Pinheiros (divórcio) ou 2ª VFS Pinheiros (alimentos)</w:t>
      </w:r>
    </w:p>
    <w:p/>
    <w:p>
      <w:pPr>
        <w:pStyle w:val="Heading2"/>
      </w:pPr>
      <w:r>
        <w:rPr>
          <w:color w:val="1B3A5B"/>
        </w:rPr>
        <w:t>XII — Reserva técnica</w:t>
      </w:r>
    </w:p>
    <w:p>
      <w:r>
        <w:rPr>
          <w:i/>
          <w:color w:val="444444"/>
          <w:sz w:val="19"/>
        </w:rPr>
        <w:t>Memória de cálculo instrumental ao patrocínio (CPC art. 472), elaborada em coautoria com a constituinte, em conformidade com (i) a sentença de 11/04/2024 lavrada nos autos do proc. 1006738-51.2023.8.26.0011 (filhos · R$ 24.300,00/mês + plano de saúde direto · vencimento dia 1º); (ii) Código Civil arts. 354 e 406 com a redação da Lei 14.905/2024 (SELIC como juros legais); (iii) extratos bancários da conta Bradesco 884-190534-1, integralmente analisados nos Docs 72 e 75 do acervo técnico. NÃO se incluem nesta memória: rendimento perdido sobre o resgate do Plano Bradesco Vida e Previdência da titular (categoria distinta, objeto de ação cível autônoma); honorários advocatícios fixados em 10% sobre uma anuidade do pensionamento; multa do CPC art. 528, § 1º; e atualização monetária por IPCA (a SELIC já incorpora a inflação). Os patronos constituídos devem verificar cada elemento em fonte primária antes da incorporação a peça subscrita. Este documento não substitui laudo CRC nem perícia oficial.</w:t>
      </w:r>
    </w:p>
    <w:p/>
    <w:p/>
    <w:p>
      <w:pPr>
        <w:jc w:val="center"/>
      </w:pPr>
      <w:r>
        <w:rPr>
          <w:sz w:val="20"/>
        </w:rPr>
        <w:t>__________________________________________________</w:t>
      </w:r>
    </w:p>
    <w:p>
      <w:pPr>
        <w:jc w:val="center"/>
      </w:pPr>
      <w:r>
        <w:rPr>
          <w:b/>
          <w:sz w:val="22"/>
        </w:rPr>
        <w:t>Dra. MICHELE P. HILGENBERG</w:t>
      </w:r>
    </w:p>
    <w:p>
      <w:pPr>
        <w:jc w:val="center"/>
      </w:pPr>
      <w:r>
        <w:rPr>
          <w:sz w:val="20"/>
        </w:rPr>
        <w:t>OAB/SC 41.607</w:t>
      </w:r>
    </w:p>
    <w:p/>
    <w:p>
      <w:pPr>
        <w:jc w:val="center"/>
      </w:pPr>
      <w:r>
        <w:rPr>
          <w:sz w:val="20"/>
        </w:rPr>
        <w:t>__________________________________________________</w:t>
      </w:r>
    </w:p>
    <w:p>
      <w:pPr>
        <w:jc w:val="center"/>
      </w:pPr>
      <w:r>
        <w:rPr>
          <w:b/>
          <w:sz w:val="22"/>
        </w:rPr>
        <w:t>Dr. LUIZ CARLOS GUIESELER JUNIOR</w:t>
      </w:r>
    </w:p>
    <w:p>
      <w:pPr>
        <w:jc w:val="center"/>
      </w:pPr>
      <w:r>
        <w:rPr>
          <w:sz w:val="20"/>
        </w:rPr>
        <w:t>OAB/PR 44.937</w:t>
      </w:r>
    </w:p>
    <w:sectPr w:rsidR="00FC693F" w:rsidRPr="0006063C" w:rsidSect="00034616">
      <w:pgSz w:w="12240" w:h="15840"/>
      <w:pgMar w:top="1134" w:right="907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