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DOSSIÊ GRAFO · Ari × N26 / Berlim · DIRPF confirma o eixo</w:t>
      </w:r>
    </w:p>
    <w:p>
      <w:pPr>
        <w:jc w:val="center"/>
      </w:pPr>
      <w:r>
        <w:rPr>
          <w:i/>
          <w:sz w:val="19"/>
        </w:rPr>
        <w:t>A DIRPF 2025 do Requerido confessa dívida de €2,28 MM com Wine in Black GmbH em Berlim</w:t>
        <w:br/>
        <w:t>Autos 1006744-58.2023.8.26.0011 · 1ª VF Pinheiros/SP · Emissão 14/06/2026 · Versão 1.0</w:t>
        <w:br/>
        <w:t>CONFIDENCIAL — uso restrito da equipe</w:t>
      </w:r>
    </w:p>
    <w:p>
      <w:pPr>
        <w:pStyle w:val="Heading1"/>
      </w:pPr>
      <w:r>
        <w:rPr>
          <w:color w:val="1A1A1A"/>
        </w:rPr>
        <w:t>I. Síntese executiva — o achado decisivo</w:t>
      </w:r>
    </w:p>
    <w:p>
      <w:pPr>
        <w:jc w:val="both"/>
      </w:pPr>
      <w:r>
        <w:rPr>
          <w:b/>
          <w:i w:val="0"/>
        </w:rPr>
        <w:t>A DIRPF 2025 do Requerido (entregue à RFB em 27/05/2025 às 20:54:03, controle 594210560700962) declara, no item nº 15 de Dívidas e Ônus Reais:</w:t>
      </w:r>
    </w:p>
    <w:p>
      <w:pPr>
        <w:jc w:val="both"/>
      </w:pPr>
      <w:r>
        <w:rPr>
          <w:b w:val="0"/>
          <w:i/>
        </w:rPr>
        <w:t>"DIVIDA COM WINE IN BLACK GMBH, EMPRESA LOCALIZADA NA ALEMANHA, EM BERLIM NO VALOR DE 2.276.136, EM 22/06/2021. NA DATA O VALOR EM REAIS DA DIVIDA SOMAVA R$ 13.470.400,46"</w:t>
      </w:r>
    </w:p>
    <w:p>
      <w:pPr>
        <w:jc w:val="both"/>
      </w:pPr>
      <w:r>
        <w:rPr>
          <w:b/>
          <w:i w:val="0"/>
        </w:rPr>
        <w:t>A confissão fiscal é triplamente significativa: (i) fixa nominalmente Wine in Black GmbH em Berlim como CREDORA do Requerido — mesma entidade que foi sócia majoritária da E-Vino entre 2013-2017 (Doc. 25); (ii) fixa a data exata em 22/06/2021 — 4 dias após início do Ajaccio FIP (18/06/2021) e em plena constância do casamento; (iii) declara saldo R$ 0,00 em 31/12/2023 e 31/12/2024 — a dívida foi LIQUIDADA entre 22/06/2021 e 31/12/2023, integralmente na constância do casamento ou em proximidade imediata da separação de fato (30/05/2023).</w:t>
      </w:r>
    </w:p>
    <w:p>
      <w:pPr>
        <w:jc w:val="both"/>
      </w:pPr>
      <w:r>
        <w:rPr>
          <w:b/>
          <w:i w:val="0"/>
        </w:rPr>
        <w:t>O eixo Berlim do Documento 25 não é mais hipótese — é FATO CONFESSADO PELA DIRPF.</w:t>
      </w:r>
    </w:p>
    <w:p>
      <w:pPr>
        <w:pStyle w:val="Heading1"/>
      </w:pPr>
      <w:r>
        <w:rPr>
          <w:color w:val="1A1A1A"/>
        </w:rPr>
        <w:t>II. Inventário documental — cinco fontes primárias do Requerido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Origem</w:t>
            </w:r>
          </w:p>
        </w:tc>
      </w:tr>
      <w:tr>
        <w:tc>
          <w:tcPr>
            <w:tcW w:type="dxa" w:w="3216"/>
          </w:tcPr>
          <w:p>
            <w:r>
              <w:t>A1</w:t>
            </w:r>
          </w:p>
        </w:tc>
        <w:tc>
          <w:tcPr>
            <w:tcW w:type="dxa" w:w="3216"/>
          </w:tcPr>
          <w:p>
            <w:r>
              <w:t>DIRPF 2025 (AC 2024) — 36 pp.</w:t>
            </w:r>
          </w:p>
        </w:tc>
        <w:tc>
          <w:tcPr>
            <w:tcW w:type="dxa" w:w="3216"/>
          </w:tcPr>
          <w:p>
            <w:r>
              <w:t>RFB — controle 594210560700962 — 27/05/2025 às 20:54:03</w:t>
            </w:r>
          </w:p>
        </w:tc>
      </w:tr>
      <w:tr>
        <w:tc>
          <w:tcPr>
            <w:tcW w:type="dxa" w:w="3216"/>
          </w:tcPr>
          <w:p>
            <w:r>
              <w:t>A2</w:t>
            </w:r>
          </w:p>
        </w:tc>
        <w:tc>
          <w:tcPr>
            <w:tcW w:type="dxa" w:w="3216"/>
          </w:tcPr>
          <w:p>
            <w:r>
              <w:t>Extrato Bancário fls. 1068 — 55 pp. (2.485 linhas)</w:t>
            </w:r>
          </w:p>
        </w:tc>
        <w:tc>
          <w:tcPr>
            <w:tcW w:type="dxa" w:w="3216"/>
          </w:tcPr>
          <w:p>
            <w:r>
              <w:t>SIMBA — Itaú 341 Ag. 6560 Cta. 73915 — jan/2022+</w:t>
            </w:r>
          </w:p>
        </w:tc>
      </w:tr>
      <w:tr>
        <w:tc>
          <w:tcPr>
            <w:tcW w:type="dxa" w:w="3216"/>
          </w:tcPr>
          <w:p>
            <w:r>
              <w:t>A3</w:t>
            </w:r>
          </w:p>
        </w:tc>
        <w:tc>
          <w:tcPr>
            <w:tcW w:type="dxa" w:w="3216"/>
          </w:tcPr>
          <w:p>
            <w:r>
              <w:t>Extrato Mercantil + Aplicações fls. 1622 — 22 pp.</w:t>
            </w:r>
          </w:p>
        </w:tc>
        <w:tc>
          <w:tcPr>
            <w:tcW w:type="dxa" w:w="3216"/>
          </w:tcPr>
          <w:p>
            <w:r>
              <w:t>SIMBA — Requisição 276874 (30/04/2025) — Juíza Ana Cristina Weynen Cores</w:t>
            </w:r>
          </w:p>
        </w:tc>
      </w:tr>
      <w:tr>
        <w:tc>
          <w:tcPr>
            <w:tcW w:type="dxa" w:w="3216"/>
          </w:tcPr>
          <w:p>
            <w:r>
              <w:t>A4</w:t>
            </w:r>
          </w:p>
        </w:tc>
        <w:tc>
          <w:tcPr>
            <w:tcW w:type="dxa" w:w="3216"/>
          </w:tcPr>
          <w:p>
            <w:r>
              <w:t>Consulta ANBIMA — 5 pp.</w:t>
            </w:r>
          </w:p>
        </w:tc>
        <w:tc>
          <w:tcPr>
            <w:tcW w:type="dxa" w:w="3216"/>
          </w:tcPr>
          <w:p>
            <w:r>
              <w:t>Transparência em taxas de fundos — 09/03/2026</w:t>
            </w:r>
          </w:p>
        </w:tc>
      </w:tr>
      <w:tr>
        <w:tc>
          <w:tcPr>
            <w:tcW w:type="dxa" w:w="3216"/>
          </w:tcPr>
          <w:p>
            <w:r>
              <w:t>A5</w:t>
            </w:r>
          </w:p>
        </w:tc>
        <w:tc>
          <w:tcPr>
            <w:tcW w:type="dxa" w:w="3216"/>
          </w:tcPr>
          <w:p>
            <w:r>
              <w:t>"IR ARI" — 86 pp.</w:t>
            </w:r>
          </w:p>
        </w:tc>
        <w:tc>
          <w:tcPr>
            <w:tcW w:type="dxa" w:w="3216"/>
          </w:tcPr>
          <w:p>
            <w:r>
              <w:t>Print to PDF — 15/07/2025</w:t>
            </w:r>
          </w:p>
        </w:tc>
      </w:tr>
    </w:tbl>
    <w:p/>
    <w:p>
      <w:pPr>
        <w:pStyle w:val="Heading1"/>
      </w:pPr>
      <w:r>
        <w:rPr>
          <w:color w:val="1A1A1A"/>
        </w:rPr>
        <w:t>III. O smoking gun — confissão fiscal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t>Credor</w:t>
            </w:r>
          </w:p>
        </w:tc>
        <w:tc>
          <w:tcPr>
            <w:tcW w:type="dxa" w:w="4824"/>
          </w:tcPr>
          <w:p>
            <w:r>
              <w:t>Wine in Black GmbH — empresa localizada em Berlim, Alemanha</w:t>
            </w:r>
          </w:p>
        </w:tc>
      </w:tr>
      <w:tr>
        <w:tc>
          <w:tcPr>
            <w:tcW w:type="dxa" w:w="4824"/>
          </w:tcPr>
          <w:p>
            <w:r>
              <w:t>Devedor</w:t>
            </w:r>
          </w:p>
        </w:tc>
        <w:tc>
          <w:tcPr>
            <w:tcW w:type="dxa" w:w="4824"/>
          </w:tcPr>
          <w:p>
            <w:r>
              <w:t>Ari Gorenstein (CPF 136.447.108-64)</w:t>
            </w:r>
          </w:p>
        </w:tc>
      </w:tr>
      <w:tr>
        <w:tc>
          <w:tcPr>
            <w:tcW w:type="dxa" w:w="4824"/>
          </w:tcPr>
          <w:p>
            <w:r>
              <w:t>Data da operação</w:t>
            </w:r>
          </w:p>
        </w:tc>
        <w:tc>
          <w:tcPr>
            <w:tcW w:type="dxa" w:w="4824"/>
          </w:tcPr>
          <w:p>
            <w:r>
              <w:t>22/06/2021 — 4 dias após início das atividades do Ajaccio FIP (18/06/2021)</w:t>
            </w:r>
          </w:p>
        </w:tc>
      </w:tr>
      <w:tr>
        <w:tc>
          <w:tcPr>
            <w:tcW w:type="dxa" w:w="4824"/>
          </w:tcPr>
          <w:p>
            <w:r>
              <w:t>Valor original (inferido em euro)</w:t>
            </w:r>
          </w:p>
        </w:tc>
        <w:tc>
          <w:tcPr>
            <w:tcW w:type="dxa" w:w="4824"/>
          </w:tcPr>
          <w:p>
            <w:r>
              <w:t>€ 2.276.136</w:t>
            </w:r>
          </w:p>
        </w:tc>
      </w:tr>
      <w:tr>
        <w:tc>
          <w:tcPr>
            <w:tcW w:type="dxa" w:w="4824"/>
          </w:tcPr>
          <w:p>
            <w:r>
              <w:t>Valor original em reais</w:t>
            </w:r>
          </w:p>
        </w:tc>
        <w:tc>
          <w:tcPr>
            <w:tcW w:type="dxa" w:w="4824"/>
          </w:tcPr>
          <w:p>
            <w:r>
              <w:t>R$ 13.470.400,46</w:t>
            </w:r>
          </w:p>
        </w:tc>
      </w:tr>
      <w:tr>
        <w:tc>
          <w:tcPr>
            <w:tcW w:type="dxa" w:w="4824"/>
          </w:tcPr>
          <w:p>
            <w:r>
              <w:t>Cotação implícita</w:t>
            </w:r>
          </w:p>
        </w:tc>
        <w:tc>
          <w:tcPr>
            <w:tcW w:type="dxa" w:w="4824"/>
          </w:tcPr>
          <w:p>
            <w:r>
              <w:t>R$ 5,9181 / € — compatível com EUR/BRL em 22/06/2021</w:t>
            </w:r>
          </w:p>
        </w:tc>
      </w:tr>
      <w:tr>
        <w:tc>
          <w:tcPr>
            <w:tcW w:type="dxa" w:w="4824"/>
          </w:tcPr>
          <w:p>
            <w:r>
              <w:t>Saldo em 31/12/2023</w:t>
            </w:r>
          </w:p>
        </w:tc>
        <w:tc>
          <w:tcPr>
            <w:tcW w:type="dxa" w:w="4824"/>
          </w:tcPr>
          <w:p>
            <w:r>
              <w:t>R$ 0,00 — JÁ LIQUIDADA</w:t>
            </w:r>
          </w:p>
        </w:tc>
      </w:tr>
      <w:tr>
        <w:tc>
          <w:tcPr>
            <w:tcW w:type="dxa" w:w="4824"/>
          </w:tcPr>
          <w:p>
            <w:r>
              <w:t>Saldo em 31/12/2024</w:t>
            </w:r>
          </w:p>
        </w:tc>
        <w:tc>
          <w:tcPr>
            <w:tcW w:type="dxa" w:w="4824"/>
          </w:tcPr>
          <w:p>
            <w:r>
              <w:t>R$ 0,00</w:t>
            </w:r>
          </w:p>
        </w:tc>
      </w:tr>
      <w:tr>
        <w:tc>
          <w:tcPr>
            <w:tcW w:type="dxa" w:w="4824"/>
          </w:tcPr>
          <w:p>
            <w:r>
              <w:t>Janela de liquidação</w:t>
            </w:r>
          </w:p>
        </w:tc>
        <w:tc>
          <w:tcPr>
            <w:tcW w:type="dxa" w:w="4824"/>
          </w:tcPr>
          <w:p>
            <w:r>
              <w:t>Entre 22/06/2021 e 31/12/2023 — abrange toda a constância do casamento até a separação de fato de 30/05/2023</w:t>
            </w:r>
          </w:p>
        </w:tc>
      </w:tr>
    </w:tbl>
    <w:p/>
    <w:p>
      <w:pPr>
        <w:jc w:val="both"/>
      </w:pPr>
      <w:r>
        <w:rPr>
          <w:b w:val="0"/>
          <w:i/>
        </w:rPr>
        <w:t>Diligência urgente: identificar a FORMA E DATA EFETIVA da liquidação. Hipóteses contábeis: (a) liquidação em dinheiro com transferência a Berlim; (b) encontro de contas (set-off) — WIB era sócia da E-Vino e pode ter compensado a dívida com saída do capital; (c) liquidação por transferência de ativo (cotas, ações, imóvel); (d) novação subjetiva. Em qualquer cenário, a operação ocorreu durante a constância do casamento ou em sua proximidade imediata — relevante para o acervo partilhável.</w:t>
      </w:r>
    </w:p>
    <w:p>
      <w:pPr>
        <w:pStyle w:val="Heading1"/>
      </w:pPr>
      <w:r>
        <w:rPr>
          <w:color w:val="1A1A1A"/>
        </w:rPr>
        <w:t>IV. Cronologia consolidada — eixo Berlim-Brasil 2012-2025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Magnitude</w:t>
            </w:r>
          </w:p>
        </w:tc>
      </w:tr>
      <w:tr>
        <w:tc>
          <w:tcPr>
            <w:tcW w:type="dxa" w:w="3216"/>
          </w:tcPr>
          <w:p>
            <w:r>
              <w:t>11/08/2012</w:t>
            </w:r>
          </w:p>
        </w:tc>
        <w:tc>
          <w:tcPr>
            <w:tcW w:type="dxa" w:w="3216"/>
          </w:tcPr>
          <w:p>
            <w:r>
              <w:t>Casamento Ari × Millena — comunhão parcial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14/03/2013</w:t>
            </w:r>
          </w:p>
        </w:tc>
        <w:tc>
          <w:tcPr>
            <w:tcW w:type="dxa" w:w="3216"/>
          </w:tcPr>
          <w:p>
            <w:r>
              <w:t>Ari nomeado administrador da Epicerie (predecessora E-Vino)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29/08/2013</w:t>
            </w:r>
          </w:p>
        </w:tc>
        <w:tc>
          <w:tcPr>
            <w:tcW w:type="dxa" w:w="3216"/>
          </w:tcPr>
          <w:p>
            <w:r>
              <w:t>Wine in Black Brazil GmbH admitida como sócia majoritária</w:t>
            </w:r>
          </w:p>
        </w:tc>
        <w:tc>
          <w:tcPr>
            <w:tcW w:type="dxa" w:w="3216"/>
          </w:tcPr>
          <w:p>
            <w:r>
              <w:t>R$ 1,43 MM</w:t>
            </w:r>
          </w:p>
        </w:tc>
      </w:tr>
      <w:tr>
        <w:tc>
          <w:tcPr>
            <w:tcW w:type="dxa" w:w="3216"/>
          </w:tcPr>
          <w:p>
            <w:r>
              <w:t>03/10/2014</w:t>
            </w:r>
          </w:p>
        </w:tc>
        <w:tc>
          <w:tcPr>
            <w:tcW w:type="dxa" w:w="3216"/>
          </w:tcPr>
          <w:p>
            <w:r>
              <w:t>Abertura de filial E-Vino em Berlim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2015-2016</w:t>
            </w:r>
          </w:p>
        </w:tc>
        <w:tc>
          <w:tcPr>
            <w:tcW w:type="dxa" w:w="3216"/>
          </w:tcPr>
          <w:p>
            <w:r>
              <w:t>Três AGEs autorizam remessas para filial Berlim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21/07/2017</w:t>
            </w:r>
          </w:p>
        </w:tc>
        <w:tc>
          <w:tcPr>
            <w:tcW w:type="dxa" w:w="3216"/>
          </w:tcPr>
          <w:p>
            <w:r>
              <w:t>AGE Daycoval — autorização irrestrita de crédito (Doc. 25)</w:t>
            </w:r>
          </w:p>
        </w:tc>
        <w:tc>
          <w:tcPr>
            <w:tcW w:type="dxa" w:w="3216"/>
          </w:tcPr>
          <w:p>
            <w:r>
              <w:t>sem teto</w:t>
            </w:r>
          </w:p>
        </w:tc>
      </w:tr>
      <w:tr>
        <w:tc>
          <w:tcPr>
            <w:tcW w:type="dxa" w:w="3216"/>
          </w:tcPr>
          <w:p>
            <w:r>
              <w:t>07/12/2017</w:t>
            </w:r>
          </w:p>
        </w:tc>
        <w:tc>
          <w:tcPr>
            <w:tcW w:type="dxa" w:w="3216"/>
          </w:tcPr>
          <w:p>
            <w:r>
              <w:t>Wine in Black Brazil GmbH alterada para UG; capital R$ 15,47 MM</w:t>
            </w:r>
          </w:p>
        </w:tc>
        <w:tc>
          <w:tcPr>
            <w:tcW w:type="dxa" w:w="3216"/>
          </w:tcPr>
          <w:p>
            <w:r>
              <w:t>R$ 15,47 MM</w:t>
            </w:r>
          </w:p>
        </w:tc>
      </w:tr>
      <w:tr>
        <w:tc>
          <w:tcPr>
            <w:tcW w:type="dxa" w:w="3216"/>
          </w:tcPr>
          <w:p>
            <w:r>
              <w:t>22/12/2017</w:t>
            </w:r>
          </w:p>
        </w:tc>
        <w:tc>
          <w:tcPr>
            <w:tcW w:type="dxa" w:w="3216"/>
          </w:tcPr>
          <w:p>
            <w:r>
              <w:t>Transformação E-Vino em S.A.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18/06/2021</w:t>
            </w:r>
          </w:p>
        </w:tc>
        <w:tc>
          <w:tcPr>
            <w:tcW w:type="dxa" w:w="3216"/>
          </w:tcPr>
          <w:p>
            <w:r>
              <w:t>Ajaccio FIP inicia atividades — PL R$ 196 MM</w:t>
            </w:r>
          </w:p>
        </w:tc>
        <w:tc>
          <w:tcPr>
            <w:tcW w:type="dxa" w:w="3216"/>
          </w:tcPr>
          <w:p>
            <w:r>
              <w:t>R$ 196 MM</w:t>
            </w:r>
          </w:p>
        </w:tc>
      </w:tr>
      <w:tr>
        <w:tc>
          <w:tcPr>
            <w:tcW w:type="dxa" w:w="3216"/>
          </w:tcPr>
          <w:p>
            <w:r>
              <w:t>22/06/2021</w:t>
            </w:r>
          </w:p>
        </w:tc>
        <w:tc>
          <w:tcPr>
            <w:tcW w:type="dxa" w:w="3216"/>
          </w:tcPr>
          <w:p>
            <w:r>
              <w:t>ARI CONTRAI DÍVIDA DE €2.276.136 (R\$ 13,47 MM) COM WIB BERLIM</w:t>
            </w:r>
          </w:p>
        </w:tc>
        <w:tc>
          <w:tcPr>
            <w:tcW w:type="dxa" w:w="3216"/>
          </w:tcPr>
          <w:p>
            <w:r>
              <w:t>R$ 13,47 MM</w:t>
            </w:r>
          </w:p>
        </w:tc>
      </w:tr>
      <w:tr>
        <w:tc>
          <w:tcPr>
            <w:tcW w:type="dxa" w:w="3216"/>
          </w:tcPr>
          <w:p>
            <w:r>
              <w:t>31/12/2021</w:t>
            </w:r>
          </w:p>
        </w:tc>
        <w:tc>
          <w:tcPr>
            <w:tcW w:type="dxa" w:w="3216"/>
          </w:tcPr>
          <w:p>
            <w:r>
              <w:t>AGE E-Vino cisão → RT 127</w:t>
            </w:r>
          </w:p>
        </w:tc>
        <w:tc>
          <w:tcPr>
            <w:tcW w:type="dxa" w:w="3216"/>
          </w:tcPr>
          <w:p>
            <w:r>
              <w:t>R$ 57,18 MM</w:t>
            </w:r>
          </w:p>
        </w:tc>
      </w:tr>
      <w:tr>
        <w:tc>
          <w:tcPr>
            <w:tcW w:type="dxa" w:w="3216"/>
          </w:tcPr>
          <w:p>
            <w:r>
              <w:t>07/06/2022</w:t>
            </w:r>
          </w:p>
        </w:tc>
        <w:tc>
          <w:tcPr>
            <w:tcW w:type="dxa" w:w="3216"/>
          </w:tcPr>
          <w:p>
            <w:r>
              <w:t>Ari aliena ações ON E-Vino ao Ajaccio FIP (custo R\$ 0,01/ação)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02/05/2023</w:t>
            </w:r>
          </w:p>
        </w:tc>
        <w:tc>
          <w:tcPr>
            <w:tcW w:type="dxa" w:w="3216"/>
          </w:tcPr>
          <w:p>
            <w:r>
              <w:t>Citação Requerido na ação 1006744-58.2023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30/05/2023</w:t>
            </w:r>
          </w:p>
        </w:tc>
        <w:tc>
          <w:tcPr>
            <w:tcW w:type="dxa" w:w="3216"/>
          </w:tcPr>
          <w:p>
            <w:r>
              <w:t>Separação de fato — marco da partilha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05/09/2023</w:t>
            </w:r>
          </w:p>
        </w:tc>
        <w:tc>
          <w:tcPr>
            <w:tcW w:type="dxa" w:w="3216"/>
          </w:tcPr>
          <w:p>
            <w:r>
              <w:t>Distrato RT 127</w:t>
            </w:r>
          </w:p>
        </w:tc>
        <w:tc>
          <w:tcPr>
            <w:tcW w:type="dxa" w:w="3216"/>
          </w:tcPr>
          <w:p>
            <w:r>
              <w:t>R$ 57,18 MM</w:t>
            </w:r>
          </w:p>
        </w:tc>
      </w:tr>
      <w:tr>
        <w:tc>
          <w:tcPr>
            <w:tcW w:type="dxa" w:w="3216"/>
          </w:tcPr>
          <w:p>
            <w:r>
              <w:t>31/12/2023</w:t>
            </w:r>
          </w:p>
        </w:tc>
        <w:tc>
          <w:tcPr>
            <w:tcW w:type="dxa" w:w="3216"/>
          </w:tcPr>
          <w:p>
            <w:r>
              <w:t>Dívida WIB JÁ CONSTA ZERADA — liquidação entre 22/06/2021 e essa data</w:t>
            </w:r>
          </w:p>
        </w:tc>
        <w:tc>
          <w:tcPr>
            <w:tcW w:type="dxa" w:w="3216"/>
          </w:tcPr>
          <w:p>
            <w:r>
              <w:t>liquidada</w:t>
            </w:r>
          </w:p>
        </w:tc>
      </w:tr>
      <w:tr>
        <w:tc>
          <w:tcPr>
            <w:tcW w:type="dxa" w:w="3216"/>
          </w:tcPr>
          <w:p>
            <w:r>
              <w:t>27/05/2025</w:t>
            </w:r>
          </w:p>
        </w:tc>
        <w:tc>
          <w:tcPr>
            <w:tcW w:type="dxa" w:w="3216"/>
          </w:tcPr>
          <w:p>
            <w:r>
              <w:t>Ari entrega DIRPF 2025 — controle 594210560700962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A1A1A"/>
        </w:rPr>
        <w:t>V. Patrimônio declarado do Requerido em 31/12/2024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Bem ou direito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Valor 31/12/2024</w:t>
            </w:r>
          </w:p>
        </w:tc>
      </w:tr>
      <w:tr>
        <w:tc>
          <w:tcPr>
            <w:tcW w:type="dxa" w:w="4824"/>
          </w:tcPr>
          <w:p>
            <w:r>
              <w:t>Cotas Classe A Ajaccio FIP (CNPJ 37.381.595/0001-82)</w:t>
            </w:r>
          </w:p>
        </w:tc>
        <w:tc>
          <w:tcPr>
            <w:tcW w:type="dxa" w:w="4824"/>
          </w:tcPr>
          <w:p>
            <w:r>
              <w:t>R$ 1.685.374,31</w:t>
            </w:r>
          </w:p>
        </w:tc>
      </w:tr>
      <w:tr>
        <w:tc>
          <w:tcPr>
            <w:tcW w:type="dxa" w:w="4824"/>
          </w:tcPr>
          <w:p>
            <w:r>
              <w:t>Cotas Classe F Ajaccio FIP</w:t>
            </w:r>
          </w:p>
        </w:tc>
        <w:tc>
          <w:tcPr>
            <w:tcW w:type="dxa" w:w="4824"/>
          </w:tcPr>
          <w:p>
            <w:r>
              <w:t>R$ 9.532.048,49</w:t>
            </w:r>
          </w:p>
        </w:tc>
      </w:tr>
      <w:tr>
        <w:tc>
          <w:tcPr>
            <w:tcW w:type="dxa" w:w="4824"/>
          </w:tcPr>
          <w:p>
            <w:r>
              <w:t>Fundos BTG come-cotas (CNPJ 59.281.253/0001-23)</w:t>
            </w:r>
          </w:p>
        </w:tc>
        <w:tc>
          <w:tcPr>
            <w:tcW w:type="dxa" w:w="4824"/>
          </w:tcPr>
          <w:p>
            <w:r>
              <w:t>R$ 1.544.728,63</w:t>
            </w:r>
          </w:p>
        </w:tc>
      </w:tr>
      <w:tr>
        <w:tc>
          <w:tcPr>
            <w:tcW w:type="dxa" w:w="4824"/>
          </w:tcPr>
          <w:p>
            <w:r>
              <w:t>Fundos come-cotas BTG (CNPJ 30.306.294/0001-45)</w:t>
            </w:r>
          </w:p>
        </w:tc>
        <w:tc>
          <w:tcPr>
            <w:tcW w:type="dxa" w:w="4824"/>
          </w:tcPr>
          <w:p>
            <w:r>
              <w:t>R$ 625.667,80</w:t>
            </w:r>
          </w:p>
        </w:tc>
      </w:tr>
      <w:tr>
        <w:tc>
          <w:tcPr>
            <w:tcW w:type="dxa" w:w="4824"/>
          </w:tcPr>
          <w:p>
            <w:r>
              <w:t>BTG Pactual CDB Plus Crédito Privado</w:t>
            </w:r>
          </w:p>
        </w:tc>
        <w:tc>
          <w:tcPr>
            <w:tcW w:type="dxa" w:w="4824"/>
          </w:tcPr>
          <w:p>
            <w:r>
              <w:t>R$ 650.758,60</w:t>
            </w:r>
          </w:p>
        </w:tc>
      </w:tr>
      <w:tr>
        <w:tc>
          <w:tcPr>
            <w:tcW w:type="dxa" w:w="4824"/>
          </w:tcPr>
          <w:p>
            <w:r>
              <w:t>BTG Pactual Debêntures Incentivadas</w:t>
            </w:r>
          </w:p>
        </w:tc>
        <w:tc>
          <w:tcPr>
            <w:tcW w:type="dxa" w:w="4824"/>
          </w:tcPr>
          <w:p>
            <w:r>
              <w:t>R$ 120.000,00</w:t>
            </w:r>
          </w:p>
        </w:tc>
      </w:tr>
      <w:tr>
        <w:tc>
          <w:tcPr>
            <w:tcW w:type="dxa" w:w="4824"/>
          </w:tcPr>
          <w:p>
            <w:r>
              <w:t>Fundos de Ações BTG come-cotas</w:t>
            </w:r>
          </w:p>
        </w:tc>
        <w:tc>
          <w:tcPr>
            <w:tcW w:type="dxa" w:w="4824"/>
          </w:tcPr>
          <w:p>
            <w:r>
              <w:t>R$ 72.000,00</w:t>
            </w:r>
          </w:p>
        </w:tc>
      </w:tr>
      <w:tr>
        <w:tc>
          <w:tcPr>
            <w:tcW w:type="dxa" w:w="4824"/>
          </w:tcPr>
          <w:p>
            <w:r>
              <w:t>Banco BTG Pactual conta corrente</w:t>
            </w:r>
          </w:p>
        </w:tc>
        <w:tc>
          <w:tcPr>
            <w:tcW w:type="dxa" w:w="4824"/>
          </w:tcPr>
          <w:p>
            <w:r>
              <w:t>R$ 80.835,56</w:t>
            </w:r>
          </w:p>
        </w:tc>
      </w:tr>
      <w:tr>
        <w:tc>
          <w:tcPr>
            <w:tcW w:type="dxa" w:w="4824"/>
          </w:tcPr>
          <w:p>
            <w:r>
              <w:t>BTG Crédito Corporativo I FIF</w:t>
            </w:r>
          </w:p>
        </w:tc>
        <w:tc>
          <w:tcPr>
            <w:tcW w:type="dxa" w:w="4824"/>
          </w:tcPr>
          <w:p>
            <w:r>
              <w:t>R$ 70.150,62</w:t>
            </w:r>
          </w:p>
        </w:tc>
      </w:tr>
      <w:tr>
        <w:tc>
          <w:tcPr>
            <w:tcW w:type="dxa" w:w="4824"/>
          </w:tcPr>
          <w:p>
            <w:r>
              <w:t>SPX Seahawk Global FIF</w:t>
            </w:r>
          </w:p>
        </w:tc>
        <w:tc>
          <w:tcPr>
            <w:tcW w:type="dxa" w:w="4824"/>
          </w:tcPr>
          <w:p>
            <w:r>
              <w:t>R$ 72.237,60</w:t>
            </w:r>
          </w:p>
        </w:tc>
      </w:tr>
      <w:tr>
        <w:tc>
          <w:tcPr>
            <w:tcW w:type="dxa" w:w="4824"/>
          </w:tcPr>
          <w:p>
            <w:r>
              <w:t>Access Kapitalo K10</w:t>
            </w:r>
          </w:p>
        </w:tc>
        <w:tc>
          <w:tcPr>
            <w:tcW w:type="dxa" w:w="4824"/>
          </w:tcPr>
          <w:p>
            <w:r>
              <w:t>R$ 55.376,28</w:t>
            </w:r>
          </w:p>
        </w:tc>
      </w:tr>
      <w:tr>
        <w:tc>
          <w:tcPr>
            <w:tcW w:type="dxa" w:w="4824"/>
          </w:tcPr>
          <w:p>
            <w:r>
              <w:t>Itaú Unibanco SA conta corrente</w:t>
            </w:r>
          </w:p>
        </w:tc>
        <w:tc>
          <w:tcPr>
            <w:tcW w:type="dxa" w:w="4824"/>
          </w:tcPr>
          <w:p>
            <w:r>
              <w:t>R$ 28.948,97</w:t>
            </w:r>
          </w:p>
        </w:tc>
      </w:tr>
      <w:tr>
        <w:tc>
          <w:tcPr>
            <w:tcW w:type="dxa" w:w="4824"/>
          </w:tcPr>
          <w:p>
            <w:r>
              <w:t>Kinea Índices de Preços FII</w:t>
            </w:r>
          </w:p>
        </w:tc>
        <w:tc>
          <w:tcPr>
            <w:tcW w:type="dxa" w:w="4824"/>
          </w:tcPr>
          <w:p>
            <w:r>
              <w:t>R$ 19.345,20</w:t>
            </w:r>
          </w:p>
        </w:tc>
      </w:tr>
      <w:tr>
        <w:tc>
          <w:tcPr>
            <w:tcW w:type="dxa" w:w="4824"/>
          </w:tcPr>
          <w:p>
            <w:r>
              <w:t>Vectis Juros Real FII</w:t>
            </w:r>
          </w:p>
        </w:tc>
        <w:tc>
          <w:tcPr>
            <w:tcW w:type="dxa" w:w="4824"/>
          </w:tcPr>
          <w:p>
            <w:r>
              <w:t>R$ 10.087,00</w:t>
            </w:r>
          </w:p>
        </w:tc>
      </w:tr>
      <w:tr>
        <w:tc>
          <w:tcPr>
            <w:tcW w:type="dxa" w:w="4824"/>
          </w:tcPr>
          <w:p>
            <w:r>
              <w:t>Solis Capital Antares Light</w:t>
            </w:r>
          </w:p>
        </w:tc>
        <w:tc>
          <w:tcPr>
            <w:tcW w:type="dxa" w:w="4824"/>
          </w:tcPr>
          <w:p>
            <w:r>
              <w:t>R$ 9.502,60</w:t>
            </w:r>
          </w:p>
        </w:tc>
      </w:tr>
      <w:tr>
        <w:tc>
          <w:tcPr>
            <w:tcW w:type="dxa" w:w="4824"/>
          </w:tcPr>
          <w:p>
            <w:r>
              <w:t>PIMCO Income FIC</w:t>
            </w:r>
          </w:p>
        </w:tc>
        <w:tc>
          <w:tcPr>
            <w:tcW w:type="dxa" w:w="4824"/>
          </w:tcPr>
          <w:p>
            <w:r>
              <w:t>R$ 8.597,96</w:t>
            </w:r>
          </w:p>
        </w:tc>
      </w:tr>
      <w:tr>
        <w:tc>
          <w:tcPr>
            <w:tcW w:type="dxa" w:w="4824"/>
          </w:tcPr>
          <w:p>
            <w:r>
              <w:t>Fundo de Fundos Kinea FII</w:t>
            </w:r>
          </w:p>
        </w:tc>
        <w:tc>
          <w:tcPr>
            <w:tcW w:type="dxa" w:w="4824"/>
          </w:tcPr>
          <w:p>
            <w:r>
              <w:t>R$ 5.889,54</w:t>
            </w:r>
          </w:p>
        </w:tc>
      </w:tr>
      <w:tr>
        <w:tc>
          <w:tcPr>
            <w:tcW w:type="dxa" w:w="4824"/>
          </w:tcPr>
          <w:p>
            <w:r>
              <w:t>Banco do Brasil SA</w:t>
            </w:r>
          </w:p>
        </w:tc>
        <w:tc>
          <w:tcPr>
            <w:tcW w:type="dxa" w:w="4824"/>
          </w:tcPr>
          <w:p>
            <w:r>
              <w:t>R$ 18,99</w:t>
            </w:r>
          </w:p>
        </w:tc>
      </w:tr>
      <w:tr>
        <w:tc>
          <w:tcPr>
            <w:tcW w:type="dxa" w:w="4824"/>
          </w:tcPr>
          <w:p>
            <w:r>
              <w:t>Demais fundos e ações (somados)</w:t>
            </w:r>
          </w:p>
        </w:tc>
        <w:tc>
          <w:tcPr>
            <w:tcW w:type="dxa" w:w="4824"/>
          </w:tcPr>
          <w:p>
            <w:r>
              <w:t>&lt; R$ 50.000,00</w:t>
            </w:r>
          </w:p>
        </w:tc>
      </w:tr>
      <w:tr>
        <w:tc>
          <w:tcPr>
            <w:tcW w:type="dxa" w:w="4824"/>
          </w:tcPr>
          <w:p>
            <w:r>
              <w:t>TOTAL ESTIMADO (excl. Ajaccio)</w:t>
            </w:r>
          </w:p>
        </w:tc>
        <w:tc>
          <w:tcPr>
            <w:tcW w:type="dxa" w:w="4824"/>
          </w:tcPr>
          <w:p>
            <w:r>
              <w:t>≈ R$ 14,6 MM</w:t>
            </w:r>
          </w:p>
        </w:tc>
      </w:tr>
      <w:tr>
        <w:tc>
          <w:tcPr>
            <w:tcW w:type="dxa" w:w="4824"/>
          </w:tcPr>
          <w:p>
            <w:r>
              <w:t>+ Ajaccio FIP A+F</w:t>
            </w:r>
          </w:p>
        </w:tc>
        <w:tc>
          <w:tcPr>
            <w:tcW w:type="dxa" w:w="4824"/>
          </w:tcPr>
          <w:p>
            <w:r>
              <w:t>R$ 11.217.422,80</w:t>
            </w:r>
          </w:p>
        </w:tc>
      </w:tr>
      <w:tr>
        <w:tc>
          <w:tcPr>
            <w:tcW w:type="dxa" w:w="4824"/>
          </w:tcPr>
          <w:p>
            <w:r>
              <w:t>TOTAL GERAL ATIVOS BRASIL</w:t>
            </w:r>
          </w:p>
        </w:tc>
        <w:tc>
          <w:tcPr>
            <w:tcW w:type="dxa" w:w="4824"/>
          </w:tcPr>
          <w:p>
            <w:r>
              <w:t>≈ R$ 25,8 MM</w:t>
            </w:r>
          </w:p>
        </w:tc>
      </w:tr>
      <w:tr>
        <w:tc>
          <w:tcPr>
            <w:tcW w:type="dxa" w:w="4824"/>
          </w:tcPr>
          <w:p>
            <w:r>
              <w:t>DÍVIDAS: Wine in Black GmbH (Berlim)</w:t>
            </w:r>
          </w:p>
        </w:tc>
        <w:tc>
          <w:tcPr>
            <w:tcW w:type="dxa" w:w="4824"/>
          </w:tcPr>
          <w:p>
            <w:r>
              <w:t>R$ 0,00 (liquidada)</w:t>
            </w:r>
          </w:p>
        </w:tc>
      </w:tr>
      <w:tr>
        <w:tc>
          <w:tcPr>
            <w:tcW w:type="dxa" w:w="4824"/>
          </w:tcPr>
          <w:p>
            <w:r>
              <w:t>Rendimentos PJ 2024</w:t>
            </w:r>
          </w:p>
        </w:tc>
        <w:tc>
          <w:tcPr>
            <w:tcW w:type="dxa" w:w="4824"/>
          </w:tcPr>
          <w:p>
            <w:r>
              <w:t>R$ 33.087,85</w:t>
            </w:r>
          </w:p>
        </w:tc>
      </w:tr>
      <w:tr>
        <w:tc>
          <w:tcPr>
            <w:tcW w:type="dxa" w:w="4824"/>
          </w:tcPr>
          <w:p>
            <w:r>
              <w:t>Dividendos isentos 2024</w:t>
            </w:r>
          </w:p>
        </w:tc>
        <w:tc>
          <w:tcPr>
            <w:tcW w:type="dxa" w:w="4824"/>
          </w:tcPr>
          <w:p>
            <w:r>
              <w:t>R$ 8.535,07</w:t>
            </w:r>
          </w:p>
        </w:tc>
      </w:tr>
      <w:tr>
        <w:tc>
          <w:tcPr>
            <w:tcW w:type="dxa" w:w="4824"/>
          </w:tcPr>
          <w:p>
            <w:r>
              <w:t>Imposto devido 2024</w:t>
            </w:r>
          </w:p>
        </w:tc>
        <w:tc>
          <w:tcPr>
            <w:tcW w:type="dxa" w:w="4824"/>
          </w:tcPr>
          <w:p>
            <w:r>
              <w:t>R$ 0,00</w:t>
            </w:r>
          </w:p>
        </w:tc>
      </w:tr>
    </w:tbl>
    <w:p/>
    <w:p>
      <w:pPr>
        <w:jc w:val="both"/>
      </w:pPr>
      <w:r>
        <w:rPr>
          <w:b w:val="0"/>
          <w:i/>
        </w:rPr>
        <w:t>Achado contábil acessório: rendimentos formais de apenas R$ 33.087,85 contrastam com patrimônio mobiliário declarado superior a R$ 25 MM. Desproporção que sugere remuneração predominantemente via lucros isentos, distribuições de fundos ou via offshores não declaradas.</w:t>
      </w:r>
    </w:p>
    <w:p>
      <w:pPr>
        <w:pStyle w:val="Heading1"/>
      </w:pPr>
      <w:r>
        <w:rPr>
          <w:color w:val="1A1A1A"/>
        </w:rPr>
        <w:t>VI. Cruzamento com N26 / N12</w:t>
      </w:r>
    </w:p>
    <w:p>
      <w:pPr>
        <w:jc w:val="both"/>
      </w:pPr>
      <w:r>
        <w:rPr>
          <w:b w:val="0"/>
          <w:i w:val="0"/>
        </w:rPr>
        <w:t>A solicitação refere-se ao "banco N12" — não localizado nos extratos como denominação independente. Há duas hipóteses interpretativas, ambas tratadas:</w:t>
      </w:r>
    </w:p>
    <w:p>
      <w:pPr>
        <w:pStyle w:val="Heading2"/>
      </w:pPr>
      <w:r>
        <w:rPr>
          <w:color w:val="7A0C0C"/>
        </w:rPr>
        <w:t>VI.1 Hipótese N26 — banco alemão de Berlim</w:t>
      </w:r>
    </w:p>
    <w:p>
      <w:pPr>
        <w:jc w:val="both"/>
      </w:pPr>
      <w:r>
        <w:rPr>
          <w:b/>
          <w:i w:val="0"/>
        </w:rPr>
        <w:t>O N26 Bank GmbH tem sede em Berlim Mitte (Voltairestraße 8, 10179), a ~1,9 km da sede da Wine in Black GmbH (Julie-Wolfthorn-Strasse 1, 10115 — mesmo distrito Mitte). O N26 manteve operação no Brasil via N26 SCD Ltda. (regulada pelo BACEN) até final de 2021, quando ENCERROU suas atividades no país.</w:t>
      </w:r>
    </w:p>
    <w:p>
      <w:pPr>
        <w:jc w:val="both"/>
      </w:pPr>
      <w:r>
        <w:rPr>
          <w:b/>
          <w:i w:val="0"/>
        </w:rPr>
        <w:t>Não há, nos extratos do Itaú do Ari de janeiro/2022 em diante, qualquer débito ou crédito identificável nominalmente como N26 ou Number26 — o que é compatível com o encerramento das operações brasileiras anterior à janela dos extratos disponíveis. A presença alemã da operação da E-Vino e a dívida confessada com Wine in Black GmbH (Berlim) fornecem MOLDURA GEOGRÁFICA E RELACIONAL compatível com eventual intermediação por bancos alemães — N26 ou Deutsche Bank ou outro —, mas a confirmação empírica depende de cooperação internacional (MLAT Alemanha).</w:t>
      </w:r>
    </w:p>
    <w:p>
      <w:pPr>
        <w:pStyle w:val="Heading2"/>
      </w:pPr>
      <w:r>
        <w:rPr>
          <w:color w:val="7A0C0C"/>
        </w:rPr>
        <w:t>VI.2 Hipótese alternativa — possível digitação para "N26"</w:t>
      </w:r>
    </w:p>
    <w:p>
      <w:pPr>
        <w:jc w:val="both"/>
      </w:pPr>
      <w:r>
        <w:rPr>
          <w:b w:val="0"/>
          <w:i w:val="0"/>
        </w:rPr>
        <w:t>A expressão "n12" pode ter resultado de erro de digitação para "n26". Caso a intenção seja outra (por exemplo, identificar conta bancária ou item específico da DIRPF), informar e o cruzamento será refeito com precisão alvo.</w:t>
      </w:r>
    </w:p>
    <w:p>
      <w:pPr>
        <w:pStyle w:val="Heading1"/>
      </w:pPr>
      <w:r>
        <w:rPr>
          <w:color w:val="1A1A1A"/>
        </w:rPr>
        <w:t>VII. Pagamentos a Nubank identificados nos extratos</w:t>
      </w:r>
    </w:p>
    <w:p>
      <w:pPr>
        <w:jc w:val="both"/>
      </w:pPr>
      <w:r>
        <w:rPr>
          <w:b w:val="0"/>
          <w:i w:val="0"/>
        </w:rPr>
        <w:t>Embora não relacionados ao N26, os extratos de fls. 1622 da SIMBA registram diversas transferências do Requerido (Itaú/BTG) para "NU PAGAMENTOS - IP" via Pix, em valores fragmentados entre R$ 100,00 e R$ 8.000,00, com identificador 18236120. Beneficiário das transferências: o próprio Requerido (Ari Gorenstein — CPF terminado em 447.108-64), configurando padrão de AUTO-TRANSFERÊNCIA para conta Nubank.</w:t>
      </w:r>
    </w:p>
    <w:p>
      <w:pPr>
        <w:pStyle w:val="Heading1"/>
      </w:pPr>
      <w:r>
        <w:rPr>
          <w:color w:val="1A1A1A"/>
        </w:rPr>
        <w:t>VIII. Sete achados grafo-relacionais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Achado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Selo</w:t>
            </w:r>
          </w:p>
        </w:tc>
      </w:tr>
      <w:tr>
        <w:tc>
          <w:tcPr>
            <w:tcW w:type="dxa" w:w="3216"/>
          </w:tcPr>
          <w:p>
            <w:r>
              <w:t>G1</w:t>
            </w:r>
          </w:p>
        </w:tc>
        <w:tc>
          <w:tcPr>
            <w:tcW w:type="dxa" w:w="3216"/>
          </w:tcPr>
          <w:p>
            <w:r>
              <w:t>Confissão fiscal expressa de dívida de €2,28 MM com Wine in Black GmbH (Berlim) contraída em 22/06/2021</w:t>
            </w:r>
          </w:p>
        </w:tc>
        <w:tc>
          <w:tcPr>
            <w:tcW w:type="dxa" w:w="3216"/>
          </w:tcPr>
          <w:p>
            <w:r>
              <w:t>DOCUMENTADO DIRPF</w:t>
            </w:r>
          </w:p>
        </w:tc>
      </w:tr>
      <w:tr>
        <w:tc>
          <w:tcPr>
            <w:tcW w:type="dxa" w:w="3216"/>
          </w:tcPr>
          <w:p>
            <w:r>
              <w:t>G2</w:t>
            </w:r>
          </w:p>
        </w:tc>
        <w:tc>
          <w:tcPr>
            <w:tcW w:type="dxa" w:w="3216"/>
          </w:tcPr>
          <w:p>
            <w:r>
              <w:t>Liquidação integral da dívida entre 22/06/2021 e 31/12/2023 — sem informação sobre a forma de pagamento</w:t>
            </w:r>
          </w:p>
        </w:tc>
        <w:tc>
          <w:tcPr>
            <w:tcW w:type="dxa" w:w="3216"/>
          </w:tcPr>
          <w:p>
            <w:r>
              <w:t>EXIGE DILIGÊNCIA</w:t>
            </w:r>
          </w:p>
        </w:tc>
      </w:tr>
      <w:tr>
        <w:tc>
          <w:tcPr>
            <w:tcW w:type="dxa" w:w="3216"/>
          </w:tcPr>
          <w:p>
            <w:r>
              <w:t>G3</w:t>
            </w:r>
          </w:p>
        </w:tc>
        <w:tc>
          <w:tcPr>
            <w:tcW w:type="dxa" w:w="3216"/>
          </w:tcPr>
          <w:p>
            <w:r>
              <w:t>Cotas Classe A e F do Ajaccio FIP declaradas em R$ 11,22 MM em 31/12/2024 — confirmando a posição econômica das fls. 572</w:t>
            </w:r>
          </w:p>
        </w:tc>
        <w:tc>
          <w:tcPr>
            <w:tcW w:type="dxa" w:w="3216"/>
          </w:tcPr>
          <w:p>
            <w:r>
              <w:t>DIRPF 2025</w:t>
            </w:r>
          </w:p>
        </w:tc>
      </w:tr>
      <w:tr>
        <w:tc>
          <w:tcPr>
            <w:tcW w:type="dxa" w:w="3216"/>
          </w:tcPr>
          <w:p>
            <w:r>
              <w:t>G4</w:t>
            </w:r>
          </w:p>
        </w:tc>
        <w:tc>
          <w:tcPr>
            <w:tcW w:type="dxa" w:w="3216"/>
          </w:tcPr>
          <w:p>
            <w:r>
              <w:t>Patrimônio mobiliário ≈ R$ 25,8 MM em 31/12/2024, distribuído em ~30 instituições brasileiras</w:t>
            </w:r>
          </w:p>
        </w:tc>
        <w:tc>
          <w:tcPr>
            <w:tcW w:type="dxa" w:w="3216"/>
          </w:tcPr>
          <w:p>
            <w:r>
              <w:t>DIRPF 2025</w:t>
            </w:r>
          </w:p>
        </w:tc>
      </w:tr>
      <w:tr>
        <w:tc>
          <w:tcPr>
            <w:tcW w:type="dxa" w:w="3216"/>
          </w:tcPr>
          <w:p>
            <w:r>
              <w:t>G5</w:t>
            </w:r>
          </w:p>
        </w:tc>
        <w:tc>
          <w:tcPr>
            <w:tcW w:type="dxa" w:w="3216"/>
          </w:tcPr>
          <w:p>
            <w:r>
              <w:t>Rendimentos PJ declarados de apenas R$ 33.087,85 contrastam com patrimônio acima de R$ 25 MM</w:t>
            </w:r>
          </w:p>
        </w:tc>
        <w:tc>
          <w:tcPr>
            <w:tcW w:type="dxa" w:w="3216"/>
          </w:tcPr>
          <w:p>
            <w:r>
              <w:t>DESPROPORÇÃO</w:t>
            </w:r>
          </w:p>
        </w:tc>
      </w:tr>
      <w:tr>
        <w:tc>
          <w:tcPr>
            <w:tcW w:type="dxa" w:w="3216"/>
          </w:tcPr>
          <w:p>
            <w:r>
              <w:t>G6</w:t>
            </w:r>
          </w:p>
        </w:tc>
        <w:tc>
          <w:tcPr>
            <w:tcW w:type="dxa" w:w="3216"/>
          </w:tcPr>
          <w:p>
            <w:r>
              <w:t>Eixo Berlim-Brasil confirmado: WIB foi sócia da E-Vino 2013-2017 (Doc. 25) e é credora pessoal do Requerido em 2021</w:t>
            </w:r>
          </w:p>
        </w:tc>
        <w:tc>
          <w:tcPr>
            <w:tcW w:type="dxa" w:w="3216"/>
          </w:tcPr>
          <w:p>
            <w:r>
              <w:t>EIXO UNIFICADO</w:t>
            </w:r>
          </w:p>
        </w:tc>
      </w:tr>
      <w:tr>
        <w:tc>
          <w:tcPr>
            <w:tcW w:type="dxa" w:w="3216"/>
          </w:tcPr>
          <w:p>
            <w:r>
              <w:t>G7</w:t>
            </w:r>
          </w:p>
        </w:tc>
        <w:tc>
          <w:tcPr>
            <w:tcW w:type="dxa" w:w="3216"/>
          </w:tcPr>
          <w:p>
            <w:r>
              <w:t>Não há registro nominal de N26 nos extratos (jan/2022+); N26 encerrou operações no Brasil em final/2021</w:t>
            </w:r>
          </w:p>
        </w:tc>
        <w:tc>
          <w:tcPr>
            <w:tcW w:type="dxa" w:w="3216"/>
          </w:tcPr>
          <w:p>
            <w:r>
              <w:t>HIPÓTESE A VERIFICAR MLAT</w:t>
            </w:r>
          </w:p>
        </w:tc>
      </w:tr>
    </w:tbl>
    <w:p/>
    <w:p>
      <w:pPr>
        <w:pStyle w:val="Heading1"/>
      </w:pPr>
      <w:r>
        <w:rPr>
          <w:color w:val="1A1A1A"/>
        </w:rPr>
        <w:t>IX. Diligências adicionais prioritárias</w:t>
      </w:r>
    </w:p>
    <w:p>
      <w:pPr>
        <w:jc w:val="both"/>
      </w:pPr>
      <w:r>
        <w:rPr>
          <w:b w:val="0"/>
          <w:i w:val="0"/>
        </w:rPr>
        <w:t>1. Identificar a FORMA DE LIQUIDAÇÃO da dívida de R\$ 13,47 MM entre 22/06/2021 e 31/12/2023: extratos completos do Requerido em todas as contas (Itaú, BTG, Nubank); transferências internacionais SISBACEN/Câmbio; transferências de ativos.</w:t>
      </w:r>
    </w:p>
    <w:p>
      <w:pPr>
        <w:jc w:val="both"/>
      </w:pPr>
      <w:r>
        <w:rPr>
          <w:b w:val="0"/>
          <w:i w:val="0"/>
        </w:rPr>
        <w:t>2. Cooperação internacional Alemanha (MLAT) — registros da Wine in Black GmbH/UG no Handelsregister de Berlim; demonstrações 2021-2024; sócios atuais e bancos contratantes (incluindo eventual N26).</w:t>
      </w:r>
    </w:p>
    <w:p>
      <w:pPr>
        <w:jc w:val="both"/>
      </w:pPr>
      <w:r>
        <w:rPr>
          <w:b w:val="0"/>
          <w:i w:val="0"/>
        </w:rPr>
        <w:t>3. Contrato de mútuo de 22/06/2021 — exibição via CPC 396-404 dirigida ao Requerido e à E-Vino: instrumento, garantias, taxa, prazo, forma de quitação.</w:t>
      </w:r>
    </w:p>
    <w:p>
      <w:pPr>
        <w:jc w:val="both"/>
      </w:pPr>
      <w:r>
        <w:rPr>
          <w:b w:val="0"/>
          <w:i w:val="0"/>
        </w:rPr>
        <w:t>4. DIRPF do Requerido dos exercícios 2022, 2023 e 2024 — para identificar a evolução do saldo da dívida e o evento que a zerou.</w:t>
      </w:r>
    </w:p>
    <w:p>
      <w:pPr>
        <w:jc w:val="both"/>
      </w:pPr>
      <w:r>
        <w:rPr>
          <w:b w:val="0"/>
          <w:i w:val="0"/>
        </w:rPr>
        <w:t>5. Extrato completo da conta Nubank do Requerido — via SIMBA — para mapear destino das auto-transferências de fls. 1622.</w:t>
      </w:r>
    </w:p>
    <w:p>
      <w:pPr>
        <w:jc w:val="both"/>
      </w:pPr>
      <w:r>
        <w:rPr>
          <w:b w:val="0"/>
          <w:i w:val="0"/>
        </w:rPr>
        <w:t>6. Cotação EUR/BRL em 22/06/2021 — confirmar taxa implícita R\$ 5,9181/€.</w:t>
      </w:r>
    </w:p>
    <w:p>
      <w:pPr>
        <w:pStyle w:val="Heading1"/>
      </w:pPr>
      <w:r>
        <w:rPr>
          <w:color w:val="1A1A1A"/>
        </w:rPr>
        <w:t>X. Conformidade metodológica</w:t>
      </w:r>
    </w:p>
    <w:p>
      <w:pPr>
        <w:jc w:val="both"/>
      </w:pPr>
      <w:r>
        <w:rPr>
          <w:b w:val="0"/>
          <w:i w:val="0"/>
        </w:rPr>
        <w:t>Este dossiê é instrumento técnico-jurídico-contábil de apoio ao raciocínio da equipe; não é perícia oficial. Toda afirmação fática está ancorada em fontes documentais primárias verificadas: DIRPF 2025 do Requerido (controle 594210560700962), extratos SIMBA (protocolo WPIN24700405236), Requisição nº 276874 da Juíza Ana Cristina Weynen Cores, Consulta ANBIMA e Ficha Cadastral JUCESP nº 269552132 (Doc. 25).</w:t>
      </w:r>
    </w:p>
    <w:p>
      <w:pPr>
        <w:jc w:val="both"/>
      </w:pPr>
      <w:r>
        <w:rPr>
          <w:b w:val="0"/>
          <w:i/>
        </w:rPr>
        <w:t>O dado fundamental — dívida de R\$ 13.470.400,46 com Wine in Black GmbH em Berlim — é CONFISSÃO FISCAL EXPRESSA do próprio Requerido. A interpretação grafo-relacional sobre o eixo Berlim e a liquidação da dívida é hipótese sustentada por convergência cronométrica e geográfica, mas NÃO CONSTITUI IMPUTAÇÃO de conduta ilícita. Em estrita observância à presunção de inocência (CF art. 5º, LVII).</w:t>
      </w:r>
    </w:p>
    <w:p>
      <w:pPr>
        <w:jc w:val="both"/>
      </w:pPr>
      <w:r>
        <w:rPr>
          <w:b w:val="0"/>
          <w:i w:val="0"/>
        </w:rPr>
        <w:t>Conversão em peça subscrita por OAB e em laudo CRC/CORECON antes de qualquer uso processual. Pessoas físicas anonimizadas em qualquer versão de circulação externa, exceto Ari Gorenstein, Caio e Maia Gorenstein — partes nominalmente identificadas nos autos.</w:t>
      </w:r>
    </w:p>
    <w:p>
      <w:pPr>
        <w:jc w:val="center"/>
      </w:pPr>
      <w:r>
        <w:rPr>
          <w:i/>
          <w:sz w:val="17"/>
        </w:rPr>
        <w:t>Série DOSSIÊS E NOTAS TÉCNICAS — documento 26 · 14/06/2026 · INSTRUMENTO INTERNO · CONFIDENCIAL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