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TESE v6 · PATCH SUPREMO · DISPOSITIVO DECISÓRIO + VETOR 4 DO CUSTO DA INÉRCIA</w:t>
      </w:r>
    </w:p>
    <w:p>
      <w:pPr>
        <w:jc w:val="center"/>
      </w:pPr>
      <w:r>
        <w:rPr>
          <w:i/>
          <w:sz w:val="19"/>
        </w:rPr>
        <w:t>Da peça que pede à peça que entrega a decisão pronta</w:t>
        <w:br/>
        <w:t>Autos 1006744-58.2023.8.26.0011 · 1ª VF Pinheiros/SP · Emissão 14/06/2026 · Patch v6</w:t>
        <w:br/>
        <w:t>Sucede e complementa Docs. 16 a 20 · CONFIDENCIAL</w:t>
      </w:r>
    </w:p>
    <w:p>
      <w:pPr>
        <w:pStyle w:val="Heading1"/>
      </w:pPr>
      <w:r>
        <w:rPr>
          <w:color w:val="1A1A1A"/>
        </w:rPr>
        <w:t>I. Recepção do parecer e definição da meta v6</w:t>
      </w:r>
    </w:p>
    <w:p>
      <w:pPr>
        <w:jc w:val="both"/>
      </w:pPr>
      <w:r>
        <w:rPr>
          <w:b/>
          <w:i w:val="0"/>
        </w:rPr>
        <w:t>O parecer do PhD em Retórica e Estratégia recebe a v5 (Doc. 20) como peça nota 10 em fundamentação e blindagem, e sugere o salto para "Tese-Nível-Supremo": a peça que não apenas convence, mas COMPELE a decisão.</w:t>
      </w:r>
    </w:p>
    <w:p>
      <w:pPr>
        <w:jc w:val="both"/>
      </w:pPr>
      <w:r>
        <w:rPr>
          <w:b w:val="0"/>
          <w:i w:val="0"/>
        </w:rPr>
        <w:t>Operam dois movimentos: (i) refinamento do Vetor 1 com dispositivo decisório quantificado pronto (reduz carga cognitiva da magistrada e individualiza o alvo correto); (ii) adição do Vetor 4 — "Do Custo da Inércia Judicial" — que conecta tempo, saúde e responsabilidade estatal, retirando do Juízo a zona de conforto da decisão postergada. Mantenho a calibragem honesta: a v6 não promete inevitabilidade, mas remove rotas de fuga e cria custo institucional explícito para qualquer decisão diversa da execução imediata.</w:t>
      </w:r>
    </w:p>
    <w:p>
      <w:pPr>
        <w:pStyle w:val="Heading1"/>
      </w:pPr>
      <w:r>
        <w:rPr>
          <w:color w:val="1A1A1A"/>
        </w:rPr>
        <w:t>II. Refinamento do Vetor 1 — capítulo pronto para a peça</w:t>
      </w:r>
    </w:p>
    <w:p>
      <w:pPr>
        <w:jc w:val="both"/>
      </w:pPr>
      <w:r>
        <w:rPr>
          <w:b w:val="0"/>
          <w:i w:val="0"/>
        </w:rPr>
        <w:t>O Vetor 1 da v5 fica intacto na arquitetura jurídica. O refinamento opera na FORMA DE APRESENTAÇÃO AO JUÍZO: capítulo destacado, sequência de pedidos quantificados, dispositivo decisório redigido em linguagem de sentença.</w:t>
      </w:r>
    </w:p>
    <w:p>
      <w:pPr>
        <w:pStyle w:val="Heading2"/>
      </w:pPr>
      <w:r>
        <w:rPr>
          <w:color w:val="7A0C0C"/>
        </w:rPr>
        <w:t>II.1 Cabeçalho do capítulo</w:t>
      </w:r>
    </w:p>
    <w:p>
      <w:pPr>
        <w:jc w:val="both"/>
      </w:pPr>
      <w:r>
        <w:rPr>
          <w:b/>
          <w:i w:val="0"/>
        </w:rPr>
        <w:t>"DO DESCUMPRIMENTO DE ORDEM JUDICIAL PELO TERCEIRO CUSTODIANTE (OSLO CAPITAL DTVM) E DA NECESSÁRIA APLICAÇÃO DE MEDIDAS COERCITIVAS DIRETAS"</w:t>
      </w:r>
    </w:p>
    <w:p>
      <w:pPr>
        <w:pStyle w:val="Heading2"/>
      </w:pPr>
      <w:r>
        <w:rPr>
          <w:color w:val="7A0C0C"/>
        </w:rPr>
        <w:t>II.2 Corpo argumentativo (draft)</w:t>
      </w:r>
    </w:p>
    <w:p>
      <w:pPr>
        <w:jc w:val="both"/>
      </w:pPr>
      <w:r>
        <w:rPr>
          <w:b w:val="0"/>
          <w:i/>
        </w:rPr>
        <w:t>"A administradora fiduciária do FIP Ajaccio — OSLO Capital DTVM S.A., sucessora da FRAM Capital DTVM, mantido o CNPJ 13.673.855/0001-25 sob ambas as denominações conforme reconhecido em ata publicada no Diário Oficial da União em 28 de maio de 2024 —, em mais de mil e noventa e cinco dias após a determinação judicial inicial, mantém-se inerte ao cumprimento da ordem de constrição emanada deste Juízo, sob a invocação reiterada de 'baixa liquidez' como sucedâneo de impenhorabilidade jurídica."</w:t>
      </w:r>
    </w:p>
    <w:p>
      <w:pPr>
        <w:jc w:val="both"/>
      </w:pPr>
      <w:r>
        <w:rPr>
          <w:b w:val="0"/>
          <w:i/>
        </w:rPr>
        <w:t>"Tal conduta deixa de ser comportamento institucional descritível como abstração societária: passa a ser conduta atribuível à PESSOA FÍSICA responsável pela administração fiduciária, cujo nome, endereço e número de inscrição constam dos atos societários publicados na CVM, identificável no termo da última eleição de Diretor Presidente da OSLO Capital DTVM."</w:t>
      </w:r>
    </w:p>
    <w:p>
      <w:pPr>
        <w:jc w:val="both"/>
      </w:pPr>
      <w:r>
        <w:rPr>
          <w:b w:val="0"/>
          <w:i/>
        </w:rPr>
        <w:t>"O CPC contempla, para hipóteses dessa exata natureza, mecanismos progressivos e cumulativos de coerção, na forma dos arts. 537 e 814 (multa diária), 77 §2º (ato atentatório à dignidade da justiça), com remessa, na hipótese de descumprimento mantido, ao Ministério Público para apuração, em tese, das condutas tipificadas no CP, em sede própria."</w:t>
      </w:r>
    </w:p>
    <w:p>
      <w:pPr>
        <w:pStyle w:val="Heading2"/>
      </w:pPr>
      <w:r>
        <w:rPr>
          <w:color w:val="7A0C0C"/>
        </w:rPr>
        <w:t>II.3 Dispositivo decisório quantificado — PRONTO para entrega ao Juízo</w:t>
      </w:r>
    </w:p>
    <w:p>
      <w:pPr>
        <w:jc w:val="both"/>
      </w:pPr>
      <w:r>
        <w:rPr>
          <w:b/>
          <w:i w:val="0"/>
        </w:rPr>
        <w:t>A peça subscrita deve oferecer à magistrada uma MINUTA DE DECISÃO redigida no padrão dispositivo. Reduz o esforço de redação e canaliza a resposta judicial para o formato que a Requerente propõe.</w:t>
      </w:r>
    </w:p>
    <w:p>
      <w:pPr>
        <w:jc w:val="both"/>
      </w:pPr>
      <w:r>
        <w:rPr>
          <w:b w:val="0"/>
          <w:i/>
        </w:rPr>
        <w:t>"Pelo exposto, requer-se a Vossa Excelência que, com fundamento nos arts. 77 §2º, 537, 814 e 854 do CPC, e nos termos da Res. CVM nº 175/2022:"</w:t>
      </w:r>
    </w:p>
    <w:p>
      <w:pPr>
        <w:jc w:val="both"/>
      </w:pPr>
      <w:r>
        <w:rPr>
          <w:b w:val="0"/>
          <w:i/>
        </w:rPr>
        <w:t>"(a) determine a INTIMAÇÃO PESSOAL DO DIRETOR PRESIDENTE da OSLO Capital DTVM S.A. (CNPJ 13.673.855/0001-25), identificado no termo da última eleição publicada na CVM, em endereço a ser informado pela peça mediante consulta ao registro funcional, para que, NO PRAZO IMPRORROGÁVEL DE 5 (CINCO) DIAS, transfira para a conta judicial vinculada a este processo o valor correspondente à Camada L2 (saldos líquidos já capturados), com imputação no acerto final da partilha, sob as seguintes penas CUMULATIVAS:"</w:t>
      </w:r>
    </w:p>
    <w:p>
      <w:pPr>
        <w:jc w:val="both"/>
      </w:pPr>
      <w:r>
        <w:rPr>
          <w:b w:val="0"/>
          <w:i/>
        </w:rPr>
        <w:t>"(a.1) multa diária (astreintes) de 1% (um por cento) sobre o valor retido, revertida em favor da Exequente, art. 537 do CPC;"</w:t>
      </w:r>
    </w:p>
    <w:p>
      <w:pPr>
        <w:jc w:val="both"/>
      </w:pPr>
      <w:r>
        <w:rPr>
          <w:b w:val="0"/>
          <w:i/>
        </w:rPr>
        <w:t>"(a.2) ato atentatório à dignidade da justiça, no patamar máximo de 20% do valor da causa, revertido em favor do Estado, art. 77 §2º do CPC, com aplicação SOLIDÁRIA à instituição e ao Diretor Presidente;"</w:t>
      </w:r>
    </w:p>
    <w:p>
      <w:pPr>
        <w:jc w:val="both"/>
      </w:pPr>
      <w:r>
        <w:rPr>
          <w:b w:val="0"/>
          <w:i/>
        </w:rPr>
        <w:t>"(a.3) extração de cópias e remessa ao Ministério Público para apuração, em sede própria, das condutas que, em tese, possam ser tipificadas no CP, sem prejuízo da responsabilidade civil por perdas e danos;"</w:t>
      </w:r>
    </w:p>
    <w:p>
      <w:pPr>
        <w:jc w:val="both"/>
      </w:pPr>
      <w:r>
        <w:rPr>
          <w:b w:val="0"/>
          <w:i/>
        </w:rPr>
        <w:t>"(a.4) comunicação à CVM e à ANBIMA para conhecimento e eventuais providências regulatórias (Res. CVM 175/2022 art. 39)."</w:t>
      </w:r>
    </w:p>
    <w:p>
      <w:pPr>
        <w:jc w:val="both"/>
      </w:pPr>
      <w:r>
        <w:rPr>
          <w:b w:val="0"/>
          <w:i/>
        </w:rPr>
        <w:t>Refinamento técnico do Vetor 1 v5: o crime de desobediência (CP art. 330) não é invocado como base de pedido cível autônomo, mas como matéria a ser apurada EM SEDE PRÓPRIA pelo MP (encaminhamento processual correto). A fundamentação do CPC art. 77 §2º substitui qualquer invocação do art. 774 (que é matéria de execução, não de partilha) — alinhado com o sanatório nº 3 já consolidado na v2.</w:t>
      </w:r>
    </w:p>
    <w:p>
      <w:pPr>
        <w:pStyle w:val="Heading1"/>
      </w:pPr>
      <w:r>
        <w:rPr>
          <w:color w:val="1A1A1A"/>
        </w:rPr>
        <w:t>III. Vetor 4 — "Do Custo da Inércia Judicial"</w:t>
      </w:r>
    </w:p>
    <w:p>
      <w:pPr>
        <w:jc w:val="both"/>
      </w:pPr>
      <w:r>
        <w:rPr>
          <w:b/>
          <w:i w:val="0"/>
        </w:rPr>
        <w:t>Vetor mais sutil — e mais poderoso. Opera sobre a ZONA DE CONFORTO DA DECISÃO POSTERGADA. A v6 retira essa zona articulando explicitamente o CUSTO HUMANO da inércia, o TEMPO já transcorrido e o RISCO DE RESPONSABILIZAÇÃO do próprio Estado-Juiz pela perpetuação processual da violência patrimonial.</w:t>
      </w:r>
    </w:p>
    <w:p>
      <w:pPr>
        <w:pStyle w:val="Heading2"/>
      </w:pPr>
      <w:r>
        <w:rPr>
          <w:color w:val="7A0C0C"/>
        </w:rPr>
        <w:t>III.1 Cabeçalho do capítulo</w:t>
      </w:r>
    </w:p>
    <w:p>
      <w:pPr>
        <w:jc w:val="both"/>
      </w:pPr>
      <w:r>
        <w:rPr>
          <w:b/>
          <w:i w:val="0"/>
        </w:rPr>
        <w:t>"DA URGÊNCIA NA CESSAÇÃO DA VIOLÊNCIA PATRIMONIAL E DO RISCO DE DANO IRREPARÁVEL PELA INÉRCIA PROCESSUAL"</w:t>
      </w:r>
    </w:p>
    <w:p>
      <w:pPr>
        <w:pStyle w:val="Heading2"/>
      </w:pPr>
      <w:r>
        <w:rPr>
          <w:color w:val="7A0C0C"/>
        </w:rPr>
        <w:t>III.2 Argumentação de impacto (draft sob calibragem ética)</w:t>
      </w:r>
    </w:p>
    <w:p>
      <w:pPr>
        <w:jc w:val="both"/>
      </w:pPr>
      <w:r>
        <w:rPr>
          <w:b w:val="0"/>
          <w:i/>
        </w:rPr>
        <w:t>"QUANTIFICAÇÃO DO TEMPO. Decorridos 1.109 dias entre a citação inicial (em 02 de maio de 2023) e a presente data, a Requerente segue aguardando a fruição de patrimônio que a lei presume comum por força da Constituição e do Código Civil — patrimônio identificado, em 16 de maio de 2023, em montante de R$ 84.856.714,65 (fl. 418), e sobre o qual recaiu constrição judicial, em 23 de maio de 2023, no valor de R$ 42.428.357,32 (fl. 530), com bloqueio total certificado nos autos no valor de R$ 52.932.655,22 (fl. 190)."</w:t>
      </w:r>
    </w:p>
    <w:p>
      <w:pPr>
        <w:jc w:val="both"/>
      </w:pPr>
      <w:r>
        <w:rPr>
          <w:b w:val="0"/>
          <w:i/>
        </w:rPr>
        <w:t>"NEXO COM A SAÚDE. Esta espera não é mero dissabor patrimonial. Ela se traduz, conforme atestado médico de 5 de maio de 2026 (Dr. Ivan dos Santos Rodrigues, CRM-SP 162488 / RQE 87014), em descompensação clínica documentada (CID-10 F33 — Transtorno Depressivo Maior recorrente), com nexo causal médico expresso entre a privação financeira sistemática e o quadro clínico configurado, e com RISCO DE SEQUELA PERMANENTE decorrente da interrupção da cobertura médica essencial — interrupção esta documentada nos autos pela juntada do termo de cancelamento do plano de saúde da Requerente, ocorrida durante o tratamento médico em curso."</w:t>
      </w:r>
    </w:p>
    <w:p>
      <w:pPr>
        <w:jc w:val="both"/>
      </w:pPr>
      <w:r>
        <w:rPr>
          <w:b w:val="0"/>
          <w:i/>
        </w:rPr>
        <w:t>"DEVER DE PROTEÇÃO. A aplicação do Protocolo CNJ 492/2023 não é, neste contexto, mera diretriz hermenêutica. É dever funcional vinculante da magistratura, exigível inclusive nas Varas de Família, com finalidade explícita de cessação de práticas que perpetuam, no processo, a violência patrimonial. O TJPR, em precedente nominado direto — AI 0048238-92.2024.8.16.0000, 12ª Câmara Cível, Rel. Des. Eduardo Augusto Salomão Cambi, j. 30/09/2024 —, firmou que a ocultação patrimonial em partilha é, ela mesma, hipótese de violência doméstica patrimonial em sentido próprio."</w:t>
      </w:r>
    </w:p>
    <w:p>
      <w:pPr>
        <w:jc w:val="both"/>
      </w:pPr>
      <w:r>
        <w:rPr>
          <w:b w:val="0"/>
          <w:i/>
        </w:rPr>
        <w:t>"CUSTO DA INÉRCIA. Neste quadro, a manutenção do status quo processual deixa de ser opção neutra. A inércia passa a ter CUSTO HUMANO DIRETO, e CUSTO INSTITUCIONAL INDIRETO: cada dia de retenção é dia de descompensação clínica documentada da Requerente; cada dia de inércia é dia em que o Requerido aufere renda do mesmo patrimônio retido contra a sua ex-cônjuge (Vetor 2 — liquidez seletiva); cada dia de postergação é dia em que o próprio Estado-Juiz, com o devido respeito, passa a integrar a cadeia causal da perpetuação da violência. A DECISÃO PELA EXECUÇÃO IMEDIATA É, NESTE CONTEXTO, A ÚNICA DECISÃO QUE CESSA O DANO EM CURSO."</w:t>
      </w:r>
    </w:p>
    <w:p>
      <w:pPr>
        <w:pStyle w:val="Heading2"/>
      </w:pPr>
      <w:r>
        <w:rPr>
          <w:color w:val="7A0C0C"/>
        </w:rPr>
        <w:t>III.3 Anexação documental do Vetor 4</w:t>
      </w:r>
    </w:p>
    <w:p>
      <w:pPr>
        <w:jc w:val="both"/>
      </w:pPr>
      <w:r>
        <w:rPr>
          <w:b w:val="0"/>
          <w:i w:val="0"/>
        </w:rPr>
        <w:t>A peça deve juntar, em sequência adjacente ao corpo argumentativo do Vetor 4, sob etiquetação destacada como "PROVA INCONTESTE DA VIOLÊNCIA PATRIMONIAL E DO RISCO À SAÚDE":</w:t>
      </w:r>
    </w:p>
    <w:p>
      <w:pPr>
        <w:jc w:val="both"/>
      </w:pPr>
      <w:r>
        <w:rPr>
          <w:b w:val="0"/>
          <w:i w:val="0"/>
        </w:rPr>
        <w:t>• Atestado psiquiátrico do Dr. Ivan dos Santos Rodrigues (CRM-SP 162488 / RQE 87014), datado de 05/05/2026 — CID-10 F33 com nexo causal e risco de sequela permanente;</w:t>
      </w:r>
    </w:p>
    <w:p>
      <w:pPr>
        <w:jc w:val="both"/>
      </w:pPr>
      <w:r>
        <w:rPr>
          <w:b w:val="0"/>
          <w:i w:val="0"/>
        </w:rPr>
        <w:t>• Termo de cancelamento do plano de saúde da Requerente (documento a ser juntado pela cliente; data e operadora a identificar);</w:t>
      </w:r>
    </w:p>
    <w:p>
      <w:pPr>
        <w:jc w:val="both"/>
      </w:pPr>
      <w:r>
        <w:rPr>
          <w:b w:val="0"/>
          <w:i w:val="0"/>
        </w:rPr>
        <w:t>• SE APLICÁVEL E DOCUMENTADO: laudo, prontuário ou relatório médico que ateste o tratamento médico em curso à época do cancelamento — eventual inclusão de informação sobre tratamento de natureza específica (oncológica ou outra de gravidade comparável) EXIGE documento médico subjacente, conforme calibragem ética da § IV.</w:t>
      </w:r>
    </w:p>
    <w:p>
      <w:pPr>
        <w:pStyle w:val="Heading1"/>
      </w:pPr>
      <w:r>
        <w:rPr>
          <w:color w:val="1A1A1A"/>
        </w:rPr>
        <w:t>IV. Calibragem ética obrigatória — sensibilidade da invocação de doença grave</w:t>
      </w:r>
    </w:p>
    <w:p>
      <w:pPr>
        <w:jc w:val="both"/>
      </w:pPr>
      <w:r>
        <w:rPr>
          <w:b/>
          <w:i w:val="0"/>
        </w:rPr>
        <w:t>VINCULAÇÃO ÉTICA PARA A EQUIPE — PRÉ-PROTOCOLO.</w:t>
      </w:r>
    </w:p>
    <w:p>
      <w:pPr>
        <w:jc w:val="both"/>
      </w:pPr>
      <w:r>
        <w:rPr>
          <w:b w:val="0"/>
          <w:i/>
        </w:rPr>
        <w:t>O parecer recebido sugere a invocação de "tratamento oncológico" como elemento retórico do Vetor 4. O Relator registra com transparência: NENHUM documento anterior da série (Docs. 11 a 20) menciona tratamento de natureza oncológica da Requerente. Os elementos médicos documentados são os do atestado psiquiátrico de 05/05/2026 — TDM (CID-10 F33), TDAH (F90), hérnias de disco (M51.1) e pós-operatório LCA (S83.5) — sem menção a doença oncológica.</w:t>
      </w:r>
    </w:p>
    <w:p>
      <w:pPr>
        <w:jc w:val="both"/>
      </w:pPr>
      <w:r>
        <w:rPr>
          <w:b w:val="0"/>
          <w:i w:val="0"/>
        </w:rPr>
        <w:t>Regras éticas e processuais para a equipe subscritora:</w:t>
      </w:r>
    </w:p>
    <w:p>
      <w:pPr>
        <w:jc w:val="both"/>
      </w:pPr>
      <w:r>
        <w:rPr>
          <w:b/>
          <w:i w:val="0"/>
        </w:rPr>
        <w:t>• SE HOUVER tratamento oncológico em curso (ou outra patologia de gravidade equivalente) à época do cancelamento da cobertura médica, E SE A REQUERENTE TIVER DOCUMENTO MÉDICO que ateste expressamente tal tratamento, a invocação retórica é legítima e poderosíssima — desde que ancorada na peça com a juntada do laudo/prontuário/relatório respectivo.</w:t>
      </w:r>
    </w:p>
    <w:p>
      <w:pPr>
        <w:jc w:val="both"/>
      </w:pPr>
      <w:r>
        <w:rPr>
          <w:b/>
          <w:i w:val="0"/>
        </w:rPr>
        <w:t>• SE NÃO HOUVER documentação médica subjacente, a invocação NÃO PODE SER FEITA. Substituí-la pelo material já documentado (atestado psiquiátrico de 05/05/2026, com risco de sequela permanente registrado pelo médico subscritor) — o impacto retórico mantém-se substancial, e a peça preserva integridade probatória.</w:t>
      </w:r>
    </w:p>
    <w:p>
      <w:pPr>
        <w:jc w:val="both"/>
      </w:pPr>
      <w:r>
        <w:rPr>
          <w:b/>
          <w:i w:val="0"/>
        </w:rPr>
        <w:t>• Em qualquer cenário: o termo de cancelamento do plano de saúde deve estar MATERIALMENTE JUNTADO aos autos antes do protocolo. Invocar interrupção de cobertura sem juntada material expõe a peça a impugnação por falta de lastro.</w:t>
      </w:r>
    </w:p>
    <w:p>
      <w:pPr>
        <w:jc w:val="both"/>
      </w:pPr>
      <w:r>
        <w:rPr>
          <w:b w:val="0"/>
          <w:i/>
        </w:rPr>
        <w:t>A integridade ética não é restrição à força retórica — é a sua condição. Peça que perde lastro probatório perde também a força coercitiva sobre o Juízo.</w:t>
      </w:r>
    </w:p>
    <w:p>
      <w:pPr>
        <w:pStyle w:val="Heading1"/>
      </w:pPr>
      <w:r>
        <w:rPr>
          <w:color w:val="1A1A1A"/>
        </w:rPr>
        <w:t>V. Pedidos J e K — aditivos à v5</w:t>
      </w:r>
    </w:p>
    <w:p>
      <w:pPr>
        <w:jc w:val="both"/>
      </w:pPr>
      <w:r>
        <w:rPr>
          <w:b/>
          <w:i w:val="0"/>
        </w:rPr>
        <w:t>Pedido J — Dispositivo decisório quantificado contra a custodiante. Adoção, no dispositivo da decisão a ser proferida, do modelo redacional sugerido no § II.3, com (i) intimação pessoal do Diretor Presidente da OSLO Capital DTVM; (ii) prazo improrrogável de 5 dias; (iii) penas cumulativas de multa diária pessoal 1%, ato atentatório à dignidade da justiça em patamar máximo 20%, remessa ao MP para apuração em sede própria, e comunicação à CVM e ANBIMA.</w:t>
      </w:r>
    </w:p>
    <w:p>
      <w:pPr>
        <w:jc w:val="both"/>
      </w:pPr>
      <w:r>
        <w:rPr>
          <w:b/>
          <w:i w:val="0"/>
        </w:rPr>
        <w:t>Pedido K — Reconhecimento da inércia como vetor de dano em curso. Reconhecimento expresso de que a manutenção do status quo — bloqueio sustentado sem entrega à Requerente em 1.109 dias, em concomitância com a renda do Requerido (Vetor 2) e com a descompensação clínica documentada (atestado 05/05/2026 + termo de cancelamento do plano de saúde) — configura DANO EM CURSO, e que a execução imediata da L2 é, no contexto da Res. CNJ 492/2023 e do TJPR AI 0048238-92.2024, a única decisão que cessa o dano. Por consequência, fixação de tutela autônoma de saúde — alimentos provisórios majorados em montante suficiente para restabelecimento da cobertura médica — em caráter cautelar e independente da partilha (CPC arts. 297 e 300).</w:t>
      </w:r>
    </w:p>
    <w:p>
      <w:pPr>
        <w:pStyle w:val="Heading1"/>
      </w:pPr>
      <w:r>
        <w:rPr>
          <w:color w:val="1A1A1A"/>
        </w:rPr>
        <w:t>VI. Arquitetura retórica integrada — quatro vetores convergentes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t>Vetor</w:t>
            </w:r>
          </w:p>
        </w:tc>
        <w:tc>
          <w:tcPr>
            <w:tcW w:type="dxa" w:w="3216"/>
          </w:tcPr>
          <w:p>
            <w:r>
              <w:rPr>
                <w:b/>
              </w:rPr>
              <w:t>Função</w:t>
            </w:r>
          </w:p>
        </w:tc>
        <w:tc>
          <w:tcPr>
            <w:tcW w:type="dxa" w:w="3216"/>
          </w:tcPr>
          <w:p>
            <w:r>
              <w:rPr>
                <w:b/>
              </w:rPr>
              <w:t>Documento</w:t>
            </w:r>
          </w:p>
        </w:tc>
      </w:tr>
      <w:tr>
        <w:tc>
          <w:tcPr>
            <w:tcW w:type="dxa" w:w="3216"/>
          </w:tcPr>
          <w:p>
            <w:r>
              <w:t>V1 — Responsabilização pessoal do administrador</w:t>
            </w:r>
          </w:p>
        </w:tc>
        <w:tc>
          <w:tcPr>
            <w:tcW w:type="dxa" w:w="3216"/>
          </w:tcPr>
          <w:p>
            <w:r>
              <w:t>A inércia ganha CPF; dispositivo decisório pronto</w:t>
            </w:r>
          </w:p>
        </w:tc>
        <w:tc>
          <w:tcPr>
            <w:tcW w:type="dxa" w:w="3216"/>
          </w:tcPr>
          <w:p>
            <w:r>
              <w:t>v5 + refinamento v6 § II</w:t>
            </w:r>
          </w:p>
        </w:tc>
      </w:tr>
      <w:tr>
        <w:tc>
          <w:tcPr>
            <w:tcW w:type="dxa" w:w="3216"/>
          </w:tcPr>
          <w:p>
            <w:r>
              <w:t>V2 — Liquidez seletiva (fato novo)</w:t>
            </w:r>
          </w:p>
        </w:tc>
        <w:tc>
          <w:tcPr>
            <w:tcW w:type="dxa" w:w="3216"/>
          </w:tcPr>
          <w:p>
            <w:r>
              <w:t>O próprio sistema judicial fornece a contraprova</w:t>
            </w:r>
          </w:p>
        </w:tc>
        <w:tc>
          <w:tcPr>
            <w:tcW w:type="dxa" w:w="3216"/>
          </w:tcPr>
          <w:p>
            <w:r>
              <w:t>v5 § III</w:t>
            </w:r>
          </w:p>
        </w:tc>
      </w:tr>
      <w:tr>
        <w:tc>
          <w:tcPr>
            <w:tcW w:type="dxa" w:w="3216"/>
          </w:tcPr>
          <w:p>
            <w:r>
              <w:t>V3 — Protocolo CNJ 492/2023 como dever funcional</w:t>
            </w:r>
          </w:p>
        </w:tc>
        <w:tc>
          <w:tcPr>
            <w:tcW w:type="dxa" w:w="3216"/>
          </w:tcPr>
          <w:p>
            <w:r>
              <w:t>Descumprimento configura perpetuação da violência</w:t>
            </w:r>
          </w:p>
        </w:tc>
        <w:tc>
          <w:tcPr>
            <w:tcW w:type="dxa" w:w="3216"/>
          </w:tcPr>
          <w:p>
            <w:r>
              <w:t>v5 § IV</w:t>
            </w:r>
          </w:p>
        </w:tc>
      </w:tr>
      <w:tr>
        <w:tc>
          <w:tcPr>
            <w:tcW w:type="dxa" w:w="3216"/>
          </w:tcPr>
          <w:p>
            <w:r>
              <w:t>V4 — Custo da Inércia Judicial</w:t>
            </w:r>
          </w:p>
        </w:tc>
        <w:tc>
          <w:tcPr>
            <w:tcW w:type="dxa" w:w="3216"/>
          </w:tcPr>
          <w:p>
            <w:r>
              <w:t>Retira do Juízo a zona de conforto; tempo + saúde + responsabilidade estatal</w:t>
            </w:r>
          </w:p>
        </w:tc>
        <w:tc>
          <w:tcPr>
            <w:tcW w:type="dxa" w:w="3216"/>
          </w:tcPr>
          <w:p>
            <w:r>
              <w:t>v6 § III (novo)</w:t>
            </w:r>
          </w:p>
        </w:tc>
      </w:tr>
    </w:tbl>
    <w:p/>
    <w:p>
      <w:pPr>
        <w:jc w:val="both"/>
      </w:pPr>
      <w:r>
        <w:rPr>
          <w:b/>
          <w:i w:val="0"/>
        </w:rPr>
        <w:t>Os quatro vetores operam em planos distintos e complementares. Cada um, isoladamente, é suficiente para fundamentar a execução imediata. Cumulados, fecham todas as portas previsíveis da decisão postergada — preservada a calibragem honesta de que nenhum trabalho técnico-jurídico pode prometer inevitabilidade absoluta.</w:t>
      </w:r>
    </w:p>
    <w:p>
      <w:pPr>
        <w:pStyle w:val="Heading1"/>
      </w:pPr>
      <w:r>
        <w:rPr>
          <w:color w:val="1A1A1A"/>
        </w:rPr>
        <w:t>VII. Síntese executiva v6</w:t>
      </w:r>
    </w:p>
    <w:p>
      <w:pPr>
        <w:jc w:val="both"/>
      </w:pPr>
      <w:r>
        <w:rPr>
          <w:b w:val="0"/>
          <w:i w:val="0"/>
        </w:rPr>
        <w:t>P1 — Norma. CPC art. 77 §2º (multa até 20%); CPC 537 (astreintes pessoais); RCVM 175/2022 (dever fiduciário pessoal); Res. CNJ 492/2023 (dever funcional de julgamento com perspectiva de gênero).</w:t>
      </w:r>
    </w:p>
    <w:p>
      <w:pPr>
        <w:jc w:val="both"/>
      </w:pPr>
      <w:r>
        <w:rPr>
          <w:b w:val="0"/>
          <w:i w:val="0"/>
        </w:rPr>
        <w:t>P2 — Fato verificado. OSLO Capital DTVM (CNPJ 13.673.855/0001-25) opera transferências do FIP Ajaccio quando destinatário é o Requerido (Vetor 2) e simula iliquidez quando destinatária seria a Requerente, há 1.109 dias. Requerente sofre descompensação clínica documentada, com risco de sequela permanente decorrente da interrupção da cobertura médica.</w:t>
      </w:r>
    </w:p>
    <w:p>
      <w:pPr>
        <w:jc w:val="both"/>
      </w:pPr>
      <w:r>
        <w:rPr>
          <w:b w:val="0"/>
          <w:i w:val="0"/>
        </w:rPr>
        <w:t>P3 — Efeito. Manutenção do status quo deixa de ser opção neutra: cada dia de inércia é dia de dano clínico em curso + dia em que o Requerido aufere renda do patrimônio retido contra a ex-cônjuge. O Estado-Juiz, na inércia, integra a cadeia causal da perpetuação da violência.</w:t>
      </w:r>
    </w:p>
    <w:p>
      <w:pPr>
        <w:jc w:val="both"/>
      </w:pPr>
      <w:r>
        <w:rPr>
          <w:b/>
          <w:i w:val="0"/>
        </w:rPr>
        <w:t>Conclusão. A decisão pela execução imediata da Camada L2, com individualização da responsabilidade do administrador (dispositivo § II.3) e reconhecimento do dano em curso (Pedido K), é a única decisão que cumpre simultaneamente o dever funcional do CNJ, o regime fiduciário da CVM, a moldura do art. 854 §3º e do Tema 1.235/STJ, e cessa o dano à Requerente.</w:t>
      </w:r>
    </w:p>
    <w:p>
      <w:pPr>
        <w:pStyle w:val="Heading1"/>
      </w:pPr>
      <w:r>
        <w:rPr>
          <w:color w:val="1A1A1A"/>
        </w:rPr>
        <w:t>VIII. Conformidade metodológica</w:t>
      </w:r>
    </w:p>
    <w:p>
      <w:pPr>
        <w:jc w:val="both"/>
      </w:pPr>
      <w:r>
        <w:rPr>
          <w:b w:val="0"/>
          <w:i w:val="0"/>
        </w:rPr>
        <w:t>Este patch (v6) sucede e complementa as versões 1 a 5 (Docs. 16 a 20). Toda afirmação fática ancorada em folhas dos autos, registro público, norma vigente ou laudo médico identificado.</w:t>
      </w:r>
    </w:p>
    <w:p>
      <w:pPr>
        <w:jc w:val="both"/>
      </w:pPr>
      <w:r>
        <w:rPr>
          <w:b/>
          <w:i w:val="0"/>
        </w:rPr>
        <w:t>A calibragem ética da § IV é VINCULANTE: qualquer invocação de doença grave (oncológica ou outra) no Vetor 4 exige documentação médica subjacente juntada aos autos. A integridade probatória é condição da força coercitiva. O termo de cancelamento do plano de saúde deve estar materialmente juntado antes do protocolo.</w:t>
      </w:r>
    </w:p>
    <w:p>
      <w:pPr>
        <w:jc w:val="both"/>
      </w:pPr>
      <w:r>
        <w:rPr>
          <w:b w:val="0"/>
          <w:i w:val="0"/>
        </w:rPr>
        <w:t>Qualificações jurídicas atribuídas a condutas alheias descritas em tese, sob CF 5º LVII. O encaminhamento eventual ao MP para apuração em sede própria (item a.3 do dispositivo) é pedido cível regular — não imputa, por si, ilícito penal categórico.</w:t>
      </w:r>
    </w:p>
    <w:p>
      <w:pPr>
        <w:jc w:val="both"/>
      </w:pPr>
      <w:r>
        <w:rPr>
          <w:b w:val="0"/>
          <w:i w:val="0"/>
        </w:rPr>
        <w:t>Conversão em peça subscrita por OAB e em laudo CRC/CORECON antes de qualquer uso processual. Identificação nominal do Diretor Presidente da OSLO Capital DTVM deve ser confirmada na ata de eleição mais recente publicada na CVM antes da redação final.</w:t>
      </w:r>
    </w:p>
    <w:p>
      <w:pPr>
        <w:jc w:val="center"/>
      </w:pPr>
      <w:r>
        <w:rPr>
          <w:i/>
          <w:sz w:val="17"/>
        </w:rPr>
        <w:t>Série DOSSIÊS E NOTAS TÉCNICAS — documento 21 · Patch v6 · sucede Docs. 16-20 · 14/06/2026 · INSTRUMENTO INTERNO · CONFIDENCIAL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