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6"/>
        </w:rPr>
        <w:t>CONFIDENCIAL · DOCUMENTO 40 · VISUAL LAW · 3 INFOGRÁFICOS PERICIAIS</w:t>
      </w:r>
    </w:p>
    <w:p>
      <w:pPr>
        <w:jc w:val="center"/>
      </w:pPr>
      <w:r>
        <w:rPr>
          <w:i/>
          <w:sz w:val="20"/>
        </w:rPr>
        <w:t>Caso Gorenstein · Autos 1006744-58.2023.8.26.0011 · 1ª VF Pinheiros/SP · 15/06/2026</w:t>
      </w:r>
    </w:p>
    <w:p>
      <w:r>
        <w:drawing>
          <wp:inline xmlns:a="http://schemas.openxmlformats.org/drawingml/2006/main" xmlns:pic="http://schemas.openxmlformats.org/drawingml/2006/picture">
            <wp:extent cx="9000000" cy="6366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page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36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· Organograma Hierárquico (5 camadas)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000000" cy="6366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page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36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· Money Flow (cascata patrimonial)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000000" cy="6366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page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36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· Mapa Aéreo de Jurisdições (8 jurisdições MLAT)</w:t>
      </w:r>
    </w:p>
    <w:p>
      <w:r>
        <w:br w:type="page"/>
      </w:r>
    </w:p>
    <w:p>
      <w:r>
        <w:rPr>
          <w:i/>
          <w:sz w:val="20"/>
        </w:rPr>
        <w:t>NOTA METODOLÓGICA · Legal Design (Stanford d.school) aplicado: simplificação sem distorção + hierarquia visual + narrativa visual. Cores codificadas por função sistêmica. Reserva técnica: CPC 472 + CF 5º LVII. Apoio à advocacia subscrita por Dra. Júlia Melim Borges Eleutério OAB/SC 22.013 · OAB/PR 98.941.</w:t>
      </w:r>
    </w:p>
    <w:sectPr w:rsidR="00FC693F" w:rsidRPr="0006063C" w:rsidSect="00034616">
      <w:pgSz w:w="12240" w:h="158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