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RELATÓRIO CONTÁBIL-FINANCEIRO PhD · SEIS FUNDOS DA ARQUITETURA</w:t>
      </w:r>
    </w:p>
    <w:p>
      <w:pPr>
        <w:jc w:val="center"/>
      </w:pPr>
      <w:r>
        <w:rPr>
          <w:i/>
          <w:sz w:val="19"/>
        </w:rPr>
        <w:t>Deflação seletiva do Ajaccio + inflação do Bonifácio e Kristian — o padrão que os dados oficiais CVM revelam</w:t>
        <w:br/>
        <w:t>Autos 1006744-58.2023.8.26.0011 · 1ª VF Pinheiros/SP · Emissão 14/06/2026 · Versão 1.0</w:t>
        <w:br/>
        <w:t>CONFIDENCIAL — uso restrito da equipe</w:t>
      </w:r>
    </w:p>
    <w:p>
      <w:pPr>
        <w:pStyle w:val="Heading1"/>
      </w:pPr>
      <w:r>
        <w:rPr>
          <w:color w:val="1A1A1A"/>
        </w:rPr>
        <w:t>I. Síntese executiva — quatro achados de auditoria documental</w:t>
      </w:r>
    </w:p>
    <w:p>
      <w:pPr>
        <w:jc w:val="both"/>
      </w:pPr>
      <w:r>
        <w:rPr>
          <w:b w:val="0"/>
          <w:i w:val="0"/>
        </w:rPr>
        <w:t>A leitura cruzada das planilhas FNET/CVM (data-base de 30/04/2025 a 30/04/2026), da Consulta de Registro de Fundo do VCP III K, e do dossiê documental do Ajaccio (demonstrações contábeis auditadas pela Grant Thornton em 2022 e pela KPMG em 2023, e laminas e formulários CVM de 2021 a 2025) produz quatro achados convergentes e mensuráveis.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w:t>
            </w:r>
          </w:p>
        </w:tc>
        <w:tc>
          <w:tcPr>
            <w:tcW w:type="dxa" w:w="3216"/>
          </w:tcPr>
          <w:p>
            <w:r>
              <w:rPr>
                <w:b/>
              </w:rPr>
              <w:t>Achado</w:t>
            </w:r>
          </w:p>
        </w:tc>
        <w:tc>
          <w:tcPr>
            <w:tcW w:type="dxa" w:w="3216"/>
          </w:tcPr>
          <w:p>
            <w:r>
              <w:rPr>
                <w:b/>
              </w:rPr>
              <w:t>Evidência</w:t>
            </w:r>
          </w:p>
        </w:tc>
      </w:tr>
      <w:tr>
        <w:tc>
          <w:tcPr>
            <w:tcW w:type="dxa" w:w="3216"/>
          </w:tcPr>
          <w:p>
            <w:r>
              <w:t>1</w:t>
            </w:r>
          </w:p>
        </w:tc>
        <w:tc>
          <w:tcPr>
            <w:tcW w:type="dxa" w:w="3216"/>
          </w:tcPr>
          <w:p>
            <w:r>
              <w:t>Deflação seletiva do Ajaccio FIP de R$ 162,7 MM (-10,4%) entre abril/2025 e abril/2026, em paralelo a inflação seletiva de R$ 43,1 MM (+237,7%) no Bonifácio FIP e R$ 674,8 MM (+40,3%) no FRAM Capital Kristian FIP</w:t>
            </w:r>
          </w:p>
        </w:tc>
        <w:tc>
          <w:tcPr>
            <w:tcW w:type="dxa" w:w="3216"/>
          </w:tcPr>
          <w:p>
            <w:r>
              <w:t>Planilhas CVM-FNET (4 datas-base)</w:t>
            </w:r>
          </w:p>
        </w:tc>
      </w:tr>
      <w:tr>
        <w:tc>
          <w:tcPr>
            <w:tcW w:type="dxa" w:w="3216"/>
          </w:tcPr>
          <w:p>
            <w:r>
              <w:t>2</w:t>
            </w:r>
          </w:p>
        </w:tc>
        <w:tc>
          <w:tcPr>
            <w:tcW w:type="dxa" w:w="3216"/>
          </w:tcPr>
          <w:p>
            <w:r>
              <w:t>Bonifácio FIP constituído com PL de R$ 18,1 MM em 30/04/2025, durante o litígio, com salto para R$ 65,6 MM em 31/08/2025 (+261%)</w:t>
            </w:r>
          </w:p>
        </w:tc>
        <w:tc>
          <w:tcPr>
            <w:tcW w:type="dxa" w:w="3216"/>
          </w:tcPr>
          <w:p>
            <w:r>
              <w:t>Planilhas CVM-FNET (saltos discretos)</w:t>
            </w:r>
          </w:p>
        </w:tc>
      </w:tr>
      <w:tr>
        <w:tc>
          <w:tcPr>
            <w:tcW w:type="dxa" w:w="3216"/>
          </w:tcPr>
          <w:p>
            <w:r>
              <w:t>3</w:t>
            </w:r>
          </w:p>
        </w:tc>
        <w:tc>
          <w:tcPr>
            <w:tcW w:type="dxa" w:w="3216"/>
          </w:tcPr>
          <w:p>
            <w:r>
              <w:t>Auditoria do Ajaccio com opinião adversa (Grant Thornton 2022) e opinião com ressalva (KPMG 2023) — subavaliação documentada de R$ 863.938 mil = 440,86% do PL em 28/02/2022</w:t>
            </w:r>
          </w:p>
        </w:tc>
        <w:tc>
          <w:tcPr>
            <w:tcW w:type="dxa" w:w="3216"/>
          </w:tcPr>
          <w:p>
            <w:r>
              <w:t>Pareceres 227QP-015-PB e KPDS 1302836</w:t>
            </w:r>
          </w:p>
        </w:tc>
      </w:tr>
      <w:tr>
        <w:tc>
          <w:tcPr>
            <w:tcW w:type="dxa" w:w="3216"/>
          </w:tcPr>
          <w:p>
            <w:r>
              <w:t>4</w:t>
            </w:r>
          </w:p>
        </w:tc>
        <w:tc>
          <w:tcPr>
            <w:tcW w:type="dxa" w:w="3216"/>
          </w:tcPr>
          <w:p>
            <w:r>
              <w:t>Anomalia contábil do Oslo FIP: PL cai de R$ 11,27 MM (abr/2025) para R$ 778,62 (ago/2025) e retorna a R$ 11,27 MM (dez/2025) — variação de -99,99% e retorno integral em 4 meses</w:t>
            </w:r>
          </w:p>
        </w:tc>
        <w:tc>
          <w:tcPr>
            <w:tcW w:type="dxa" w:w="3216"/>
          </w:tcPr>
          <w:p>
            <w:r>
              <w:t>Planilhas CVM-FNET, três datas-base</w:t>
            </w:r>
          </w:p>
        </w:tc>
      </w:tr>
    </w:tbl>
    <w:p/>
    <w:p>
      <w:pPr>
        <w:pStyle w:val="Heading1"/>
      </w:pPr>
      <w:r>
        <w:rPr>
          <w:color w:val="1A1A1A"/>
        </w:rPr>
        <w:t>II. Inventário dos seis fundos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rPr>
              <w:t>#</w:t>
            </w:r>
          </w:p>
        </w:tc>
        <w:tc>
          <w:tcPr>
            <w:tcW w:type="dxa" w:w="1930"/>
          </w:tcPr>
          <w:p>
            <w:r>
              <w:rPr>
                <w:b/>
              </w:rPr>
              <w:t>Denominação</w:t>
            </w:r>
          </w:p>
        </w:tc>
        <w:tc>
          <w:tcPr>
            <w:tcW w:type="dxa" w:w="1930"/>
          </w:tcPr>
          <w:p>
            <w:r>
              <w:rPr>
                <w:b/>
              </w:rPr>
              <w:t>CNPJ</w:t>
            </w:r>
          </w:p>
        </w:tc>
        <w:tc>
          <w:tcPr>
            <w:tcW w:type="dxa" w:w="1930"/>
          </w:tcPr>
          <w:p>
            <w:r>
              <w:rPr>
                <w:b/>
              </w:rPr>
              <w:t>Registro CVM</w:t>
            </w:r>
          </w:p>
        </w:tc>
        <w:tc>
          <w:tcPr>
            <w:tcW w:type="dxa" w:w="1930"/>
          </w:tcPr>
          <w:p>
            <w:r>
              <w:rPr>
                <w:b/>
              </w:rPr>
              <w:t>Administradora</w:t>
            </w:r>
          </w:p>
        </w:tc>
      </w:tr>
      <w:tr>
        <w:tc>
          <w:tcPr>
            <w:tcW w:type="dxa" w:w="1930"/>
          </w:tcPr>
          <w:p>
            <w:r>
              <w:t>F1</w:t>
            </w:r>
          </w:p>
        </w:tc>
        <w:tc>
          <w:tcPr>
            <w:tcW w:type="dxa" w:w="1930"/>
          </w:tcPr>
          <w:p>
            <w:r>
              <w:t>Vinci Capital Partners III K FIP Multiestratégia</w:t>
            </w:r>
          </w:p>
        </w:tc>
        <w:tc>
          <w:tcPr>
            <w:tcW w:type="dxa" w:w="1930"/>
          </w:tcPr>
          <w:p>
            <w:r>
              <w:t>44.179.309/0001-66</w:t>
            </w:r>
          </w:p>
        </w:tc>
        <w:tc>
          <w:tcPr>
            <w:tcW w:type="dxa" w:w="1930"/>
          </w:tcPr>
          <w:p>
            <w:r>
              <w:t>Cód. CVM 0121328 — 01/12/2021</w:t>
            </w:r>
          </w:p>
        </w:tc>
        <w:tc>
          <w:tcPr>
            <w:tcW w:type="dxa" w:w="1930"/>
          </w:tcPr>
          <w:p>
            <w:r>
              <w:t>BEM DTVM (Bradesco)</w:t>
            </w:r>
          </w:p>
        </w:tc>
      </w:tr>
      <w:tr>
        <w:tc>
          <w:tcPr>
            <w:tcW w:type="dxa" w:w="1930"/>
          </w:tcPr>
          <w:p>
            <w:r>
              <w:t>F2</w:t>
            </w:r>
          </w:p>
        </w:tc>
        <w:tc>
          <w:tcPr>
            <w:tcW w:type="dxa" w:w="1930"/>
          </w:tcPr>
          <w:p>
            <w:r>
              <w:t>Volimo FIP Multiestratégia</w:t>
            </w:r>
          </w:p>
        </w:tc>
        <w:tc>
          <w:tcPr>
            <w:tcW w:type="dxa" w:w="1930"/>
          </w:tcPr>
          <w:p>
            <w:r>
              <w:t>36.642.430/0001-54</w:t>
            </w:r>
          </w:p>
        </w:tc>
        <w:tc>
          <w:tcPr>
            <w:tcW w:type="dxa" w:w="1930"/>
          </w:tcPr>
          <w:p>
            <w:r>
              <w:t>—</w:t>
            </w:r>
          </w:p>
        </w:tc>
        <w:tc>
          <w:tcPr>
            <w:tcW w:type="dxa" w:w="1930"/>
          </w:tcPr>
          <w:p>
            <w:r>
              <w:t>—</w:t>
            </w:r>
          </w:p>
        </w:tc>
      </w:tr>
      <w:tr>
        <w:tc>
          <w:tcPr>
            <w:tcW w:type="dxa" w:w="1930"/>
          </w:tcPr>
          <w:p>
            <w:r>
              <w:t>F3</w:t>
            </w:r>
          </w:p>
        </w:tc>
        <w:tc>
          <w:tcPr>
            <w:tcW w:type="dxa" w:w="1930"/>
          </w:tcPr>
          <w:p>
            <w:r>
              <w:t>Ajaccio FIP Multiestratégia</w:t>
            </w:r>
          </w:p>
        </w:tc>
        <w:tc>
          <w:tcPr>
            <w:tcW w:type="dxa" w:w="1930"/>
          </w:tcPr>
          <w:p>
            <w:r>
              <w:t>37.381.595/0001-82</w:t>
            </w:r>
          </w:p>
        </w:tc>
        <w:tc>
          <w:tcPr>
            <w:tcW w:type="dxa" w:w="1930"/>
          </w:tcPr>
          <w:p>
            <w:r>
              <w:t>03/06/2020 — atividade desde 18/06/2021</w:t>
            </w:r>
          </w:p>
        </w:tc>
        <w:tc>
          <w:tcPr>
            <w:tcW w:type="dxa" w:w="1930"/>
          </w:tcPr>
          <w:p>
            <w:r>
              <w:t>FRAM Capital DTVM (ex-OSLO/agora OSLO Capital DTVM)</w:t>
            </w:r>
          </w:p>
        </w:tc>
      </w:tr>
      <w:tr>
        <w:tc>
          <w:tcPr>
            <w:tcW w:type="dxa" w:w="1930"/>
          </w:tcPr>
          <w:p>
            <w:r>
              <w:t>F4</w:t>
            </w:r>
          </w:p>
        </w:tc>
        <w:tc>
          <w:tcPr>
            <w:tcW w:type="dxa" w:w="1930"/>
          </w:tcPr>
          <w:p>
            <w:r>
              <w:t>FRAM Capital Kristian FIP</w:t>
            </w:r>
          </w:p>
        </w:tc>
        <w:tc>
          <w:tcPr>
            <w:tcW w:type="dxa" w:w="1930"/>
          </w:tcPr>
          <w:p>
            <w:r>
              <w:t>41.011.720/0001-30</w:t>
            </w:r>
          </w:p>
        </w:tc>
        <w:tc>
          <w:tcPr>
            <w:tcW w:type="dxa" w:w="1930"/>
          </w:tcPr>
          <w:p>
            <w:r>
              <w:t>—</w:t>
            </w:r>
          </w:p>
        </w:tc>
        <w:tc>
          <w:tcPr>
            <w:tcW w:type="dxa" w:w="1930"/>
          </w:tcPr>
          <w:p>
            <w:r>
              <w:t>FRAM Capital DTVM</w:t>
            </w:r>
          </w:p>
        </w:tc>
      </w:tr>
      <w:tr>
        <w:tc>
          <w:tcPr>
            <w:tcW w:type="dxa" w:w="1930"/>
          </w:tcPr>
          <w:p>
            <w:r>
              <w:t>F5</w:t>
            </w:r>
          </w:p>
        </w:tc>
        <w:tc>
          <w:tcPr>
            <w:tcW w:type="dxa" w:w="1930"/>
          </w:tcPr>
          <w:p>
            <w:r>
              <w:t>Oslo FIP Multiestratégia</w:t>
            </w:r>
          </w:p>
        </w:tc>
        <w:tc>
          <w:tcPr>
            <w:tcW w:type="dxa" w:w="1930"/>
          </w:tcPr>
          <w:p>
            <w:r>
              <w:t>56.393.559/0001-83</w:t>
            </w:r>
          </w:p>
        </w:tc>
        <w:tc>
          <w:tcPr>
            <w:tcW w:type="dxa" w:w="1930"/>
          </w:tcPr>
          <w:p>
            <w:r>
              <w:t>—</w:t>
            </w:r>
          </w:p>
        </w:tc>
        <w:tc>
          <w:tcPr>
            <w:tcW w:type="dxa" w:w="1930"/>
          </w:tcPr>
          <w:p>
            <w:r>
              <w:t>(FRAM/Oslo)</w:t>
            </w:r>
          </w:p>
        </w:tc>
      </w:tr>
      <w:tr>
        <w:tc>
          <w:tcPr>
            <w:tcW w:type="dxa" w:w="1930"/>
          </w:tcPr>
          <w:p>
            <w:r>
              <w:t>F6</w:t>
            </w:r>
          </w:p>
        </w:tc>
        <w:tc>
          <w:tcPr>
            <w:tcW w:type="dxa" w:w="1930"/>
          </w:tcPr>
          <w:p>
            <w:r>
              <w:t>Bonifácio FIP — Classe Única Mult. Resp. Limitada</w:t>
            </w:r>
          </w:p>
        </w:tc>
        <w:tc>
          <w:tcPr>
            <w:tcW w:type="dxa" w:w="1930"/>
          </w:tcPr>
          <w:p>
            <w:r>
              <w:t>59.402.540/0001-44</w:t>
            </w:r>
          </w:p>
        </w:tc>
        <w:tc>
          <w:tcPr>
            <w:tcW w:type="dxa" w:w="1930"/>
          </w:tcPr>
          <w:p>
            <w:r>
              <w:t>11/02/2025</w:t>
            </w:r>
          </w:p>
        </w:tc>
        <w:tc>
          <w:tcPr>
            <w:tcW w:type="dxa" w:w="1930"/>
          </w:tcPr>
          <w:p>
            <w:r>
              <w:t>(mesmo endereço da OSLO)</w:t>
            </w:r>
          </w:p>
        </w:tc>
      </w:tr>
    </w:tbl>
    <w:p/>
    <w:p>
      <w:pPr>
        <w:pStyle w:val="Heading1"/>
      </w:pPr>
      <w:r>
        <w:rPr>
          <w:color w:val="1A1A1A"/>
        </w:rPr>
        <w:t>III. Evolução do PL — quatro datas-base oficiais</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rPr>
              <w:t>Fundo</w:t>
            </w:r>
          </w:p>
        </w:tc>
        <w:tc>
          <w:tcPr>
            <w:tcW w:type="dxa" w:w="1608"/>
          </w:tcPr>
          <w:p>
            <w:r>
              <w:rPr>
                <w:b/>
              </w:rPr>
              <w:t>30/04/2025</w:t>
            </w:r>
          </w:p>
        </w:tc>
        <w:tc>
          <w:tcPr>
            <w:tcW w:type="dxa" w:w="1608"/>
          </w:tcPr>
          <w:p>
            <w:r>
              <w:rPr>
                <w:b/>
              </w:rPr>
              <w:t>31/08/2025</w:t>
            </w:r>
          </w:p>
        </w:tc>
        <w:tc>
          <w:tcPr>
            <w:tcW w:type="dxa" w:w="1608"/>
          </w:tcPr>
          <w:p>
            <w:r>
              <w:rPr>
                <w:b/>
              </w:rPr>
              <w:t>31/12/2025</w:t>
            </w:r>
          </w:p>
        </w:tc>
        <w:tc>
          <w:tcPr>
            <w:tcW w:type="dxa" w:w="1608"/>
          </w:tcPr>
          <w:p>
            <w:r>
              <w:rPr>
                <w:b/>
              </w:rPr>
              <w:t>30/04/2026</w:t>
            </w:r>
          </w:p>
        </w:tc>
        <w:tc>
          <w:tcPr>
            <w:tcW w:type="dxa" w:w="1608"/>
          </w:tcPr>
          <w:p>
            <w:r>
              <w:rPr>
                <w:b/>
              </w:rPr>
              <w:t>Δ 12 meses</w:t>
            </w:r>
          </w:p>
        </w:tc>
      </w:tr>
      <w:tr>
        <w:tc>
          <w:tcPr>
            <w:tcW w:type="dxa" w:w="1608"/>
          </w:tcPr>
          <w:p>
            <w:r>
              <w:t>Volimo</w:t>
            </w:r>
          </w:p>
        </w:tc>
        <w:tc>
          <w:tcPr>
            <w:tcW w:type="dxa" w:w="1608"/>
          </w:tcPr>
          <w:p>
            <w:r>
              <w:t>R$ 237.451.050,84</w:t>
            </w:r>
          </w:p>
        </w:tc>
        <w:tc>
          <w:tcPr>
            <w:tcW w:type="dxa" w:w="1608"/>
          </w:tcPr>
          <w:p>
            <w:r>
              <w:t>R$ 228.895.755,67</w:t>
            </w:r>
          </w:p>
        </w:tc>
        <w:tc>
          <w:tcPr>
            <w:tcW w:type="dxa" w:w="1608"/>
          </w:tcPr>
          <w:p>
            <w:r>
              <w:t>R$ 214.062.104,35</w:t>
            </w:r>
          </w:p>
        </w:tc>
        <w:tc>
          <w:tcPr>
            <w:tcW w:type="dxa" w:w="1608"/>
          </w:tcPr>
          <w:p>
            <w:r>
              <w:t>R$ 214.242.062,05</w:t>
            </w:r>
          </w:p>
        </w:tc>
        <w:tc>
          <w:tcPr>
            <w:tcW w:type="dxa" w:w="1608"/>
          </w:tcPr>
          <w:p>
            <w:r>
              <w:t>−9,77% (−R$ 23,2 MM)</w:t>
            </w:r>
          </w:p>
        </w:tc>
      </w:tr>
      <w:tr>
        <w:tc>
          <w:tcPr>
            <w:tcW w:type="dxa" w:w="1608"/>
          </w:tcPr>
          <w:p>
            <w:r>
              <w:t>Ajaccio</w:t>
            </w:r>
          </w:p>
        </w:tc>
        <w:tc>
          <w:tcPr>
            <w:tcW w:type="dxa" w:w="1608"/>
          </w:tcPr>
          <w:p>
            <w:r>
              <w:t>R$ 1.568.888.762,53</w:t>
            </w:r>
          </w:p>
        </w:tc>
        <w:tc>
          <w:tcPr>
            <w:tcW w:type="dxa" w:w="1608"/>
          </w:tcPr>
          <w:p>
            <w:r>
              <w:t>R$ 1.509.181.538,03</w:t>
            </w:r>
          </w:p>
        </w:tc>
        <w:tc>
          <w:tcPr>
            <w:tcW w:type="dxa" w:w="1608"/>
          </w:tcPr>
          <w:p>
            <w:r>
              <w:t>R$ 1.406.613.955,29</w:t>
            </w:r>
          </w:p>
        </w:tc>
        <w:tc>
          <w:tcPr>
            <w:tcW w:type="dxa" w:w="1608"/>
          </w:tcPr>
          <w:p>
            <w:r>
              <w:t>R$ 1.406.148.264,67</w:t>
            </w:r>
          </w:p>
        </w:tc>
        <w:tc>
          <w:tcPr>
            <w:tcW w:type="dxa" w:w="1608"/>
          </w:tcPr>
          <w:p>
            <w:r>
              <w:t>−10,38% (−R$ 162,7 MM)</w:t>
            </w:r>
          </w:p>
        </w:tc>
      </w:tr>
      <w:tr>
        <w:tc>
          <w:tcPr>
            <w:tcW w:type="dxa" w:w="1608"/>
          </w:tcPr>
          <w:p>
            <w:r>
              <w:t>FRAM Kristian</w:t>
            </w:r>
          </w:p>
        </w:tc>
        <w:tc>
          <w:tcPr>
            <w:tcW w:type="dxa" w:w="1608"/>
          </w:tcPr>
          <w:p>
            <w:r>
              <w:t>R$ 1.676.353.568,15</w:t>
            </w:r>
          </w:p>
        </w:tc>
        <w:tc>
          <w:tcPr>
            <w:tcW w:type="dxa" w:w="1608"/>
          </w:tcPr>
          <w:p>
            <w:r>
              <w:t>R$ 1.543.987.271,55</w:t>
            </w:r>
          </w:p>
        </w:tc>
        <w:tc>
          <w:tcPr>
            <w:tcW w:type="dxa" w:w="1608"/>
          </w:tcPr>
          <w:p>
            <w:r>
              <w:t>R$ 1.661.214.296,46</w:t>
            </w:r>
          </w:p>
        </w:tc>
        <w:tc>
          <w:tcPr>
            <w:tcW w:type="dxa" w:w="1608"/>
          </w:tcPr>
          <w:p>
            <w:r>
              <w:t>R$ 2.351.193.892,33</w:t>
            </w:r>
          </w:p>
        </w:tc>
        <w:tc>
          <w:tcPr>
            <w:tcW w:type="dxa" w:w="1608"/>
          </w:tcPr>
          <w:p>
            <w:r>
              <w:t>+40,26% (+R$ 674,8 MM)</w:t>
            </w:r>
          </w:p>
        </w:tc>
      </w:tr>
      <w:tr>
        <w:tc>
          <w:tcPr>
            <w:tcW w:type="dxa" w:w="1608"/>
          </w:tcPr>
          <w:p>
            <w:r>
              <w:t>Oslo FIP</w:t>
            </w:r>
          </w:p>
        </w:tc>
        <w:tc>
          <w:tcPr>
            <w:tcW w:type="dxa" w:w="1608"/>
          </w:tcPr>
          <w:p>
            <w:r>
              <w:t>R$ 11.270.157,02</w:t>
            </w:r>
          </w:p>
        </w:tc>
        <w:tc>
          <w:tcPr>
            <w:tcW w:type="dxa" w:w="1608"/>
          </w:tcPr>
          <w:p>
            <w:r>
              <w:t>R$ 778,62</w:t>
            </w:r>
          </w:p>
        </w:tc>
        <w:tc>
          <w:tcPr>
            <w:tcW w:type="dxa" w:w="1608"/>
          </w:tcPr>
          <w:p>
            <w:r>
              <w:t>R$ 11.270.157,02</w:t>
            </w:r>
          </w:p>
        </w:tc>
        <w:tc>
          <w:tcPr>
            <w:tcW w:type="dxa" w:w="1608"/>
          </w:tcPr>
          <w:p>
            <w:r>
              <w:t>(não informado)</w:t>
            </w:r>
          </w:p>
        </w:tc>
        <w:tc>
          <w:tcPr>
            <w:tcW w:type="dxa" w:w="1608"/>
          </w:tcPr>
          <w:p>
            <w:r>
              <w:t>ANOMALIA</w:t>
            </w:r>
          </w:p>
        </w:tc>
      </w:tr>
      <w:tr>
        <w:tc>
          <w:tcPr>
            <w:tcW w:type="dxa" w:w="1608"/>
          </w:tcPr>
          <w:p>
            <w:r>
              <w:t>Bonifácio</w:t>
            </w:r>
          </w:p>
        </w:tc>
        <w:tc>
          <w:tcPr>
            <w:tcW w:type="dxa" w:w="1608"/>
          </w:tcPr>
          <w:p>
            <w:r>
              <w:t>R$ 18.135.551,50</w:t>
            </w:r>
          </w:p>
        </w:tc>
        <w:tc>
          <w:tcPr>
            <w:tcW w:type="dxa" w:w="1608"/>
          </w:tcPr>
          <w:p>
            <w:r>
              <w:t>R$ 65.625.393,69</w:t>
            </w:r>
          </w:p>
        </w:tc>
        <w:tc>
          <w:tcPr>
            <w:tcW w:type="dxa" w:w="1608"/>
          </w:tcPr>
          <w:p>
            <w:r>
              <w:t>R$ 61.280.392,87</w:t>
            </w:r>
          </w:p>
        </w:tc>
        <w:tc>
          <w:tcPr>
            <w:tcW w:type="dxa" w:w="1608"/>
          </w:tcPr>
          <w:p>
            <w:r>
              <w:t>R$ 61.194.108,98</w:t>
            </w:r>
          </w:p>
        </w:tc>
        <w:tc>
          <w:tcPr>
            <w:tcW w:type="dxa" w:w="1608"/>
          </w:tcPr>
          <w:p>
            <w:r>
              <w:t>+237,69% (+R$ 43,1 MM)</w:t>
            </w:r>
          </w:p>
        </w:tc>
      </w:tr>
    </w:tbl>
    <w:p/>
    <w:p>
      <w:pPr>
        <w:jc w:val="both"/>
      </w:pPr>
      <w:r>
        <w:rPr>
          <w:b w:val="0"/>
          <w:i/>
        </w:rPr>
        <w:t>Universo de PL agregado dos cinco fundos com séries completas em 30/04/2026: R$ 4.032.778.327,03 — quatro bilhões e trinta e dois milhões. Ajaccio: 34,87% deste agregado; Kristian: 58,30%. Apenas Ajaccio e Volimo registram deflação; Kristian e Bonifácio, inflação.</w:t>
      </w:r>
    </w:p>
    <w:p>
      <w:pPr>
        <w:pStyle w:val="Heading1"/>
      </w:pPr>
      <w:r>
        <w:rPr>
          <w:color w:val="1A1A1A"/>
        </w:rPr>
        <w:t>IV. Fichas técnicas dos fundos</w:t>
      </w:r>
    </w:p>
    <w:p>
      <w:pPr>
        <w:pStyle w:val="Heading2"/>
      </w:pPr>
      <w:r>
        <w:rPr>
          <w:color w:val="7A0C0C"/>
        </w:rPr>
        <w:t>F1 — Vinci Capital Partners III K FIP Multiestratégia</w:t>
      </w:r>
    </w:p>
    <w:tbl>
      <w:tblPr>
        <w:tblStyle w:val="LightGrid-Accent1"/>
        <w:tblW w:type="auto" w:w="0"/>
        <w:tblLook w:firstColumn="1" w:firstRow="1" w:lastColumn="0" w:lastRow="0" w:noHBand="0" w:noVBand="1" w:val="04A0"/>
      </w:tblPr>
      <w:tblGrid>
        <w:gridCol w:w="4824"/>
        <w:gridCol w:w="4824"/>
      </w:tblGrid>
      <w:tr>
        <w:tc>
          <w:tcPr>
            <w:tcW w:type="dxa" w:w="4824"/>
          </w:tcPr>
          <w:p>
            <w:r>
              <w:rPr>
                <w:b/>
              </w:rPr>
              <w:t>Atributo</w:t>
            </w:r>
          </w:p>
        </w:tc>
        <w:tc>
          <w:tcPr>
            <w:tcW w:type="dxa" w:w="4824"/>
          </w:tcPr>
          <w:p>
            <w:r>
              <w:rPr>
                <w:b/>
              </w:rPr>
              <w:t>Valor</w:t>
            </w:r>
          </w:p>
        </w:tc>
      </w:tr>
      <w:tr>
        <w:tc>
          <w:tcPr>
            <w:tcW w:type="dxa" w:w="4824"/>
          </w:tcPr>
          <w:p>
            <w:r>
              <w:t>Tipo</w:t>
            </w:r>
          </w:p>
        </w:tc>
        <w:tc>
          <w:tcPr>
            <w:tcW w:type="dxa" w:w="4824"/>
          </w:tcPr>
          <w:p>
            <w:r>
              <w:t>FIP Multi</w:t>
            </w:r>
          </w:p>
        </w:tc>
      </w:tr>
      <w:tr>
        <w:tc>
          <w:tcPr>
            <w:tcW w:type="dxa" w:w="4824"/>
          </w:tcPr>
          <w:p>
            <w:r>
              <w:t>Código CVM</w:t>
            </w:r>
          </w:p>
        </w:tc>
        <w:tc>
          <w:tcPr>
            <w:tcW w:type="dxa" w:w="4824"/>
          </w:tcPr>
          <w:p>
            <w:r>
              <w:t>0121328</w:t>
            </w:r>
          </w:p>
        </w:tc>
      </w:tr>
      <w:tr>
        <w:tc>
          <w:tcPr>
            <w:tcW w:type="dxa" w:w="4824"/>
          </w:tcPr>
          <w:p>
            <w:r>
              <w:t>Data de registro CVM</w:t>
            </w:r>
          </w:p>
        </w:tc>
        <w:tc>
          <w:tcPr>
            <w:tcW w:type="dxa" w:w="4824"/>
          </w:tcPr>
          <w:p>
            <w:r>
              <w:t>01/12/2021</w:t>
            </w:r>
          </w:p>
        </w:tc>
      </w:tr>
      <w:tr>
        <w:tc>
          <w:tcPr>
            <w:tcW w:type="dxa" w:w="4824"/>
          </w:tcPr>
          <w:p>
            <w:r>
              <w:t>Administradora</w:t>
            </w:r>
          </w:p>
        </w:tc>
        <w:tc>
          <w:tcPr>
            <w:tcW w:type="dxa" w:w="4824"/>
          </w:tcPr>
          <w:p>
            <w:r>
              <w:t>BEM Distribuidora de Títulos e Valores Mobiliários Ltda. (Bradesco)</w:t>
            </w:r>
          </w:p>
        </w:tc>
      </w:tr>
      <w:tr>
        <w:tc>
          <w:tcPr>
            <w:tcW w:type="dxa" w:w="4824"/>
          </w:tcPr>
          <w:p>
            <w:r>
              <w:t>Situação</w:t>
            </w:r>
          </w:p>
        </w:tc>
        <w:tc>
          <w:tcPr>
            <w:tcW w:type="dxa" w:w="4824"/>
          </w:tcPr>
          <w:p>
            <w:r>
              <w:t>Em Funcionamento Normal</w:t>
            </w:r>
          </w:p>
        </w:tc>
      </w:tr>
      <w:tr>
        <w:tc>
          <w:tcPr>
            <w:tcW w:type="dxa" w:w="4824"/>
          </w:tcPr>
          <w:p>
            <w:r>
              <w:t>Achado</w:t>
            </w:r>
          </w:p>
        </w:tc>
        <w:tc>
          <w:tcPr>
            <w:tcW w:type="dxa" w:w="4824"/>
          </w:tcPr>
          <w:p>
            <w:r>
              <w:t>Registro CVM em 01/12/2021 — três meses antes do aporte da Vinci de R$ 650 MM na E-Vino (mar/2022); cronologia compatível com engenharia pré-deal</w:t>
            </w:r>
          </w:p>
        </w:tc>
      </w:tr>
    </w:tbl>
    <w:p/>
    <w:p>
      <w:pPr>
        <w:pStyle w:val="Heading2"/>
      </w:pPr>
      <w:r>
        <w:rPr>
          <w:color w:val="7A0C0C"/>
        </w:rPr>
        <w:t>F2 — Volimo FIP Multiestratégia</w:t>
      </w:r>
    </w:p>
    <w:tbl>
      <w:tblPr>
        <w:tblStyle w:val="LightGrid-Accent1"/>
        <w:tblW w:type="auto" w:w="0"/>
        <w:tblLook w:firstColumn="1" w:firstRow="1" w:lastColumn="0" w:lastRow="0" w:noHBand="0" w:noVBand="1" w:val="04A0"/>
      </w:tblPr>
      <w:tblGrid>
        <w:gridCol w:w="4824"/>
        <w:gridCol w:w="4824"/>
      </w:tblGrid>
      <w:tr>
        <w:tc>
          <w:tcPr>
            <w:tcW w:type="dxa" w:w="4824"/>
          </w:tcPr>
          <w:p>
            <w:r>
              <w:rPr>
                <w:b/>
              </w:rPr>
              <w:t>Atributo</w:t>
            </w:r>
          </w:p>
        </w:tc>
        <w:tc>
          <w:tcPr>
            <w:tcW w:type="dxa" w:w="4824"/>
          </w:tcPr>
          <w:p>
            <w:r>
              <w:rPr>
                <w:b/>
              </w:rPr>
              <w:t>Valor</w:t>
            </w:r>
          </w:p>
        </w:tc>
      </w:tr>
      <w:tr>
        <w:tc>
          <w:tcPr>
            <w:tcW w:type="dxa" w:w="4824"/>
          </w:tcPr>
          <w:p>
            <w:r>
              <w:t>Classe de cotas</w:t>
            </w:r>
          </w:p>
        </w:tc>
        <w:tc>
          <w:tcPr>
            <w:tcW w:type="dxa" w:w="4824"/>
          </w:tcPr>
          <w:p>
            <w:r>
              <w:t>Classe 1 — única série</w:t>
            </w:r>
          </w:p>
        </w:tc>
      </w:tr>
      <w:tr>
        <w:tc>
          <w:tcPr>
            <w:tcW w:type="dxa" w:w="4824"/>
          </w:tcPr>
          <w:p>
            <w:r>
              <w:t>PL 30/04/2025</w:t>
            </w:r>
          </w:p>
        </w:tc>
        <w:tc>
          <w:tcPr>
            <w:tcW w:type="dxa" w:w="4824"/>
          </w:tcPr>
          <w:p>
            <w:r>
              <w:t>R$ 237.451.050,84</w:t>
            </w:r>
          </w:p>
        </w:tc>
      </w:tr>
      <w:tr>
        <w:tc>
          <w:tcPr>
            <w:tcW w:type="dxa" w:w="4824"/>
          </w:tcPr>
          <w:p>
            <w:r>
              <w:t>PL 30/04/2026</w:t>
            </w:r>
          </w:p>
        </w:tc>
        <w:tc>
          <w:tcPr>
            <w:tcW w:type="dxa" w:w="4824"/>
          </w:tcPr>
          <w:p>
            <w:r>
              <w:t>R$ 214.242.062,05</w:t>
            </w:r>
          </w:p>
        </w:tc>
      </w:tr>
      <w:tr>
        <w:tc>
          <w:tcPr>
            <w:tcW w:type="dxa" w:w="4824"/>
          </w:tcPr>
          <w:p>
            <w:r>
              <w:t>Variação 12 meses</w:t>
            </w:r>
          </w:p>
        </w:tc>
        <w:tc>
          <w:tcPr>
            <w:tcW w:type="dxa" w:w="4824"/>
          </w:tcPr>
          <w:p>
            <w:r>
              <w:t>−9,77%</w:t>
            </w:r>
          </w:p>
        </w:tc>
      </w:tr>
      <w:tr>
        <w:tc>
          <w:tcPr>
            <w:tcW w:type="dxa" w:w="4824"/>
          </w:tcPr>
          <w:p>
            <w:r>
              <w:t>Função</w:t>
            </w:r>
          </w:p>
        </w:tc>
        <w:tc>
          <w:tcPr>
            <w:tcW w:type="dxa" w:w="4824"/>
          </w:tcPr>
          <w:p>
            <w:r>
              <w:t>Feeder histórico do BTG — mútuo conversível R$ 200 MM à E-Vino</w:t>
            </w:r>
          </w:p>
        </w:tc>
      </w:tr>
      <w:tr>
        <w:tc>
          <w:tcPr>
            <w:tcW w:type="dxa" w:w="4824"/>
          </w:tcPr>
          <w:p>
            <w:r>
              <w:t>Achado</w:t>
            </w:r>
          </w:p>
        </w:tc>
        <w:tc>
          <w:tcPr>
            <w:tcW w:type="dxa" w:w="4824"/>
          </w:tcPr>
          <w:p>
            <w:r>
              <w:t>Deflação consistente trimestre a trimestre. Padrão coerente com fundo em fase de saída/amortização</w:t>
            </w:r>
          </w:p>
        </w:tc>
      </w:tr>
    </w:tbl>
    <w:p/>
    <w:p>
      <w:pPr>
        <w:pStyle w:val="Heading2"/>
      </w:pPr>
      <w:r>
        <w:rPr>
          <w:color w:val="7A0C0C"/>
        </w:rPr>
        <w:t>F3 — Ajaccio FIP Multiestratégia</w:t>
      </w:r>
    </w:p>
    <w:tbl>
      <w:tblPr>
        <w:tblStyle w:val="LightGrid-Accent1"/>
        <w:tblW w:type="auto" w:w="0"/>
        <w:tblLook w:firstColumn="1" w:firstRow="1" w:lastColumn="0" w:lastRow="0" w:noHBand="0" w:noVBand="1" w:val="04A0"/>
      </w:tblPr>
      <w:tblGrid>
        <w:gridCol w:w="4824"/>
        <w:gridCol w:w="4824"/>
      </w:tblGrid>
      <w:tr>
        <w:tc>
          <w:tcPr>
            <w:tcW w:type="dxa" w:w="4824"/>
          </w:tcPr>
          <w:p>
            <w:r>
              <w:rPr>
                <w:b/>
              </w:rPr>
              <w:t>Atributo</w:t>
            </w:r>
          </w:p>
        </w:tc>
        <w:tc>
          <w:tcPr>
            <w:tcW w:type="dxa" w:w="4824"/>
          </w:tcPr>
          <w:p>
            <w:r>
              <w:rPr>
                <w:b/>
              </w:rPr>
              <w:t>Valor</w:t>
            </w:r>
          </w:p>
        </w:tc>
      </w:tr>
      <w:tr>
        <w:tc>
          <w:tcPr>
            <w:tcW w:type="dxa" w:w="4824"/>
          </w:tcPr>
          <w:p>
            <w:r>
              <w:t>Constituição</w:t>
            </w:r>
          </w:p>
        </w:tc>
        <w:tc>
          <w:tcPr>
            <w:tcW w:type="dxa" w:w="4824"/>
          </w:tcPr>
          <w:p>
            <w:r>
              <w:t>03/06/2020 (registro CVM); início efetivo 18/06/2021</w:t>
            </w:r>
          </w:p>
        </w:tc>
      </w:tr>
      <w:tr>
        <w:tc>
          <w:tcPr>
            <w:tcW w:type="dxa" w:w="4824"/>
          </w:tcPr>
          <w:p>
            <w:r>
              <w:t>Administradora</w:t>
            </w:r>
          </w:p>
        </w:tc>
        <w:tc>
          <w:tcPr>
            <w:tcW w:type="dxa" w:w="4824"/>
          </w:tcPr>
          <w:p>
            <w:r>
              <w:t>FRAM Capital DTVM S.A. (CNPJ 13.673.855/0001-25) — hoje OSLO Capital DTVM, mesmo CNPJ (rebrand DOU 28/05/2024)</w:t>
            </w:r>
          </w:p>
        </w:tc>
      </w:tr>
      <w:tr>
        <w:tc>
          <w:tcPr>
            <w:tcW w:type="dxa" w:w="4824"/>
          </w:tcPr>
          <w:p>
            <w:r>
              <w:t>Carteira (30/11/2023, auditada)</w:t>
            </w:r>
          </w:p>
        </w:tc>
        <w:tc>
          <w:tcPr>
            <w:tcW w:type="dxa" w:w="4824"/>
          </w:tcPr>
          <w:p>
            <w:r>
              <w:t>100,00% do PL em ações de companhia fechada — Evino Comércio de Vinhos S.A. (CNPJ 17.392.519/0001-65), 11.935.645 ações ON</w:t>
            </w:r>
          </w:p>
        </w:tc>
      </w:tr>
      <w:tr>
        <w:tc>
          <w:tcPr>
            <w:tcW w:type="dxa" w:w="4824"/>
          </w:tcPr>
          <w:p>
            <w:r>
              <w:t>Caixa em 30/11/2023</w:t>
            </w:r>
          </w:p>
        </w:tc>
        <w:tc>
          <w:tcPr>
            <w:tcW w:type="dxa" w:w="4824"/>
          </w:tcPr>
          <w:p>
            <w:r>
              <w:t>R$ 9.000,00 — nove mil reais, em fundo com PL de R$ 1,53 bilhão</w:t>
            </w:r>
          </w:p>
        </w:tc>
      </w:tr>
      <w:tr>
        <w:tc>
          <w:tcPr>
            <w:tcW w:type="dxa" w:w="4824"/>
          </w:tcPr>
          <w:p>
            <w:r>
              <w:t>PL 30/04/2025</w:t>
            </w:r>
          </w:p>
        </w:tc>
        <w:tc>
          <w:tcPr>
            <w:tcW w:type="dxa" w:w="4824"/>
          </w:tcPr>
          <w:p>
            <w:r>
              <w:t>R$ 1.568.888.762,53 — classe ÚNICA</w:t>
            </w:r>
          </w:p>
        </w:tc>
      </w:tr>
      <w:tr>
        <w:tc>
          <w:tcPr>
            <w:tcW w:type="dxa" w:w="4824"/>
          </w:tcPr>
          <w:p>
            <w:r>
              <w:t>PL 31/08/2025</w:t>
            </w:r>
          </w:p>
        </w:tc>
        <w:tc>
          <w:tcPr>
            <w:tcW w:type="dxa" w:w="4824"/>
          </w:tcPr>
          <w:p>
            <w:r>
              <w:t>R$ 1.509.181.538,03 — 9 subclasses (reestruturação CVM 175/2022)</w:t>
            </w:r>
          </w:p>
        </w:tc>
      </w:tr>
      <w:tr>
        <w:tc>
          <w:tcPr>
            <w:tcW w:type="dxa" w:w="4824"/>
          </w:tcPr>
          <w:p>
            <w:r>
              <w:t>PL 30/04/2026</w:t>
            </w:r>
          </w:p>
        </w:tc>
        <w:tc>
          <w:tcPr>
            <w:tcW w:type="dxa" w:w="4824"/>
          </w:tcPr>
          <w:p>
            <w:r>
              <w:t>R$ 1.406.148.264,67 — manutenção das 9 subclasses</w:t>
            </w:r>
          </w:p>
        </w:tc>
      </w:tr>
      <w:tr>
        <w:tc>
          <w:tcPr>
            <w:tcW w:type="dxa" w:w="4824"/>
          </w:tcPr>
          <w:p>
            <w:r>
              <w:t>Variação 12 meses</w:t>
            </w:r>
          </w:p>
        </w:tc>
        <w:tc>
          <w:tcPr>
            <w:tcW w:type="dxa" w:w="4824"/>
          </w:tcPr>
          <w:p>
            <w:r>
              <w:t>−10,38% (deflação de R$ 162,7 MM)</w:t>
            </w:r>
          </w:p>
        </w:tc>
      </w:tr>
      <w:tr>
        <w:tc>
          <w:tcPr>
            <w:tcW w:type="dxa" w:w="4824"/>
          </w:tcPr>
          <w:p>
            <w:r>
              <w:t>Resultado do exercício 2023</w:t>
            </w:r>
          </w:p>
        </w:tc>
        <w:tc>
          <w:tcPr>
            <w:tcW w:type="dxa" w:w="4824"/>
          </w:tcPr>
          <w:p>
            <w:r>
              <w:t>R$ −8.357 mil (prejuízo)</w:t>
            </w:r>
          </w:p>
        </w:tc>
      </w:tr>
      <w:tr>
        <w:tc>
          <w:tcPr>
            <w:tcW w:type="dxa" w:w="4824"/>
          </w:tcPr>
          <w:p>
            <w:r>
              <w:t>Resultado do exercício 2022</w:t>
            </w:r>
          </w:p>
        </w:tc>
        <w:tc>
          <w:tcPr>
            <w:tcW w:type="dxa" w:w="4824"/>
          </w:tcPr>
          <w:p>
            <w:r>
              <w:t>R$ +932.838 mil (quase totalmente decorrente de ajuste a valor justo da E-Vino)</w:t>
            </w:r>
          </w:p>
        </w:tc>
      </w:tr>
    </w:tbl>
    <w:p/>
    <w:p>
      <w:pPr>
        <w:pStyle w:val="Heading2"/>
      </w:pPr>
      <w:r>
        <w:rPr>
          <w:color w:val="7A0C0C"/>
        </w:rPr>
        <w:t>Ressalva Grant Thornton 2022 — OPINIÃO ADVERSA</w:t>
      </w:r>
    </w:p>
    <w:p>
      <w:pPr>
        <w:jc w:val="both"/>
      </w:pPr>
      <w:r>
        <w:rPr>
          <w:b w:val="0"/>
          <w:i/>
        </w:rPr>
        <w:t>"Em 28 de fevereiro de 2022, o Fundo possuía investimento na companhia de capital fechado Evino Comércio de vinhos S.A. (...) no montante de R$ 194.821 mil, o equivalente a 99,42% de seu Patrimônio Líquido para os quais o Fundo não efetuou o reconhecimento do valor justo dos ativos nesta data, conforme determinado pela Instrução CVM nº 579/16. A mensuração a valor justo na Companhia Investida foi efetuada subsequentemente a data-base de 28 de fevereiro de 2022, no montante de R$ 1.058.759 mil (...). A ausência da atualização a valor justo dos investimentos em ações para a data base do Fundo, gerou uma diferença de R$ 863.938 mil, o equivalente a 440,86% de seu patrimônio líquido, consequentemente, em 28 de fevereiro de 2022, o ativo, resultado e patrimônio líquido do Fundo estão SUBAVALIADOS nesse mesmo montante."</w:t>
      </w:r>
    </w:p>
    <w:p>
      <w:pPr>
        <w:jc w:val="both"/>
      </w:pPr>
      <w:r>
        <w:rPr>
          <w:b/>
          <w:i w:val="0"/>
        </w:rPr>
        <w:t>Conclusão técnica: o PL real do Ajaccio em 28/02/2022, na data-base de fechamento contábil, era de aproximadamente R$ 1,058 bilhão — não os R$ 194,8 milhões originalmente registrados. A subavaliação de 440,86% é FATO AUDITADO.</w:t>
      </w:r>
    </w:p>
    <w:p>
      <w:pPr>
        <w:pStyle w:val="Heading2"/>
      </w:pPr>
      <w:r>
        <w:rPr>
          <w:color w:val="7A0C0C"/>
        </w:rPr>
        <w:t>Ressalva KPMG 2023 — OPINIÃO COM RESSALVA</w:t>
      </w:r>
    </w:p>
    <w:p>
      <w:pPr>
        <w:jc w:val="both"/>
      </w:pPr>
      <w:r>
        <w:rPr>
          <w:b w:val="0"/>
          <w:i/>
        </w:rPr>
        <w:t>"Em 30 de novembro de 2023, o Fundo possuía 100,00% de seu patrimônio líquido representado por participações em companhia fechada, sem cotação em bolsa ou mercado ativo, mensuradas pelo valor justo determinado com base em laudo de avaliação econômico financeira, elaborados por avaliador terceiro independente, que utiliza, dentre outros, dados e premissas não observáveis, tais como taxa de desconto e período projetivo."</w:t>
      </w:r>
    </w:p>
    <w:p>
      <w:pPr>
        <w:jc w:val="both"/>
      </w:pPr>
      <w:r>
        <w:rPr>
          <w:b/>
          <w:i w:val="0"/>
        </w:rPr>
        <w:t>Conclusão técnica: a precificação de R$ 1,533 bilhão em 30/11/2023 é marcação a modelo (mark-to-model), sem mercado ativo de referência, com premissas e dados não observáveis. A KPMG considera "aceitável" no contexto, mas registra o risco de distorção relevante.</w:t>
      </w:r>
    </w:p>
    <w:p>
      <w:pPr>
        <w:pStyle w:val="Heading2"/>
      </w:pPr>
      <w:r>
        <w:rPr>
          <w:color w:val="7A0C0C"/>
        </w:rPr>
        <w:t>F4 — FRAM Capital Kristian FIP</w:t>
      </w:r>
    </w:p>
    <w:tbl>
      <w:tblPr>
        <w:tblStyle w:val="LightGrid-Accent1"/>
        <w:tblW w:type="auto" w:w="0"/>
        <w:tblLook w:firstColumn="1" w:firstRow="1" w:lastColumn="0" w:lastRow="0" w:noHBand="0" w:noVBand="1" w:val="04A0"/>
      </w:tblPr>
      <w:tblGrid>
        <w:gridCol w:w="4824"/>
        <w:gridCol w:w="4824"/>
      </w:tblGrid>
      <w:tr>
        <w:tc>
          <w:tcPr>
            <w:tcW w:type="dxa" w:w="4824"/>
          </w:tcPr>
          <w:p>
            <w:r>
              <w:rPr>
                <w:b/>
              </w:rPr>
              <w:t>Atributo</w:t>
            </w:r>
          </w:p>
        </w:tc>
        <w:tc>
          <w:tcPr>
            <w:tcW w:type="dxa" w:w="4824"/>
          </w:tcPr>
          <w:p>
            <w:r>
              <w:rPr>
                <w:b/>
              </w:rPr>
              <w:t>Valor</w:t>
            </w:r>
          </w:p>
        </w:tc>
      </w:tr>
      <w:tr>
        <w:tc>
          <w:tcPr>
            <w:tcW w:type="dxa" w:w="4824"/>
          </w:tcPr>
          <w:p>
            <w:r>
              <w:t>Administradora</w:t>
            </w:r>
          </w:p>
        </w:tc>
        <w:tc>
          <w:tcPr>
            <w:tcW w:type="dxa" w:w="4824"/>
          </w:tcPr>
          <w:p>
            <w:r>
              <w:t>FRAM Capital DTVM (mesmo CNPJ 13.673.855/0001-25 da OSLO)</w:t>
            </w:r>
          </w:p>
        </w:tc>
      </w:tr>
      <w:tr>
        <w:tc>
          <w:tcPr>
            <w:tcW w:type="dxa" w:w="4824"/>
          </w:tcPr>
          <w:p>
            <w:r>
              <w:t>Classes 30/04/2025</w:t>
            </w:r>
          </w:p>
        </w:tc>
        <w:tc>
          <w:tcPr>
            <w:tcW w:type="dxa" w:w="4824"/>
          </w:tcPr>
          <w:p>
            <w:r>
              <w:t>Classes A e B</w:t>
            </w:r>
          </w:p>
        </w:tc>
      </w:tr>
      <w:tr>
        <w:tc>
          <w:tcPr>
            <w:tcW w:type="dxa" w:w="4824"/>
          </w:tcPr>
          <w:p>
            <w:r>
              <w:t>Classes 31/08/2025</w:t>
            </w:r>
          </w:p>
        </w:tc>
        <w:tc>
          <w:tcPr>
            <w:tcW w:type="dxa" w:w="4824"/>
          </w:tcPr>
          <w:p>
            <w:r>
              <w:t>Classes 1 e 2 (reestruturação no Q3/2025)</w:t>
            </w:r>
          </w:p>
        </w:tc>
      </w:tr>
      <w:tr>
        <w:tc>
          <w:tcPr>
            <w:tcW w:type="dxa" w:w="4824"/>
          </w:tcPr>
          <w:p>
            <w:r>
              <w:t>PL 30/04/2025</w:t>
            </w:r>
          </w:p>
        </w:tc>
        <w:tc>
          <w:tcPr>
            <w:tcW w:type="dxa" w:w="4824"/>
          </w:tcPr>
          <w:p>
            <w:r>
              <w:t>R$ 1.676.353.568,15</w:t>
            </w:r>
          </w:p>
        </w:tc>
      </w:tr>
      <w:tr>
        <w:tc>
          <w:tcPr>
            <w:tcW w:type="dxa" w:w="4824"/>
          </w:tcPr>
          <w:p>
            <w:r>
              <w:t>PL 31/08/2025</w:t>
            </w:r>
          </w:p>
        </w:tc>
        <w:tc>
          <w:tcPr>
            <w:tcW w:type="dxa" w:w="4824"/>
          </w:tcPr>
          <w:p>
            <w:r>
              <w:t>R$ 1.543.987.271,55 (−7,9%)</w:t>
            </w:r>
          </w:p>
        </w:tc>
      </w:tr>
      <w:tr>
        <w:tc>
          <w:tcPr>
            <w:tcW w:type="dxa" w:w="4824"/>
          </w:tcPr>
          <w:p>
            <w:r>
              <w:t>PL 31/12/2025</w:t>
            </w:r>
          </w:p>
        </w:tc>
        <w:tc>
          <w:tcPr>
            <w:tcW w:type="dxa" w:w="4824"/>
          </w:tcPr>
          <w:p>
            <w:r>
              <w:t>R$ 1.661.214.296,46 (+7,6%)</w:t>
            </w:r>
          </w:p>
        </w:tc>
      </w:tr>
      <w:tr>
        <w:tc>
          <w:tcPr>
            <w:tcW w:type="dxa" w:w="4824"/>
          </w:tcPr>
          <w:p>
            <w:r>
              <w:t>PL 30/04/2026</w:t>
            </w:r>
          </w:p>
        </w:tc>
        <w:tc>
          <w:tcPr>
            <w:tcW w:type="dxa" w:w="4824"/>
          </w:tcPr>
          <w:p>
            <w:r>
              <w:t>R$ 2.351.193.892,33 (+41,5% em 4 meses)</w:t>
            </w:r>
          </w:p>
        </w:tc>
      </w:tr>
      <w:tr>
        <w:tc>
          <w:tcPr>
            <w:tcW w:type="dxa" w:w="4824"/>
          </w:tcPr>
          <w:p>
            <w:r>
              <w:t>Variação 12 meses</w:t>
            </w:r>
          </w:p>
        </w:tc>
        <w:tc>
          <w:tcPr>
            <w:tcW w:type="dxa" w:w="4824"/>
          </w:tcPr>
          <w:p>
            <w:r>
              <w:t>+40,26% (inflação de R$ 674,8 MM)</w:t>
            </w:r>
          </w:p>
        </w:tc>
      </w:tr>
      <w:tr>
        <w:tc>
          <w:tcPr>
            <w:tcW w:type="dxa" w:w="4824"/>
          </w:tcPr>
          <w:p>
            <w:r>
              <w:t>Achado</w:t>
            </w:r>
          </w:p>
        </w:tc>
        <w:tc>
          <w:tcPr>
            <w:tcW w:type="dxa" w:w="4824"/>
          </w:tcPr>
          <w:p>
            <w:r>
              <w:t>Salto de R$ 690 MM no primeiro quadrimestre de 2026, em paralelo à deflação do Ajaccio. Hipótese de migração de ativo — a confirmar via informe trimestral CVM</w:t>
            </w:r>
          </w:p>
        </w:tc>
      </w:tr>
    </w:tbl>
    <w:p/>
    <w:p>
      <w:pPr>
        <w:pStyle w:val="Heading2"/>
      </w:pPr>
      <w:r>
        <w:rPr>
          <w:color w:val="7A0C0C"/>
        </w:rPr>
        <w:t>F5 — Oslo FIP Multiestratégia</w:t>
      </w:r>
    </w:p>
    <w:tbl>
      <w:tblPr>
        <w:tblStyle w:val="LightGrid-Accent1"/>
        <w:tblW w:type="auto" w:w="0"/>
        <w:tblLook w:firstColumn="1" w:firstRow="1" w:lastColumn="0" w:lastRow="0" w:noHBand="0" w:noVBand="1" w:val="04A0"/>
      </w:tblPr>
      <w:tblGrid>
        <w:gridCol w:w="4824"/>
        <w:gridCol w:w="4824"/>
      </w:tblGrid>
      <w:tr>
        <w:tc>
          <w:tcPr>
            <w:tcW w:type="dxa" w:w="4824"/>
          </w:tcPr>
          <w:p>
            <w:r>
              <w:rPr>
                <w:b/>
              </w:rPr>
              <w:t>Atributo</w:t>
            </w:r>
          </w:p>
        </w:tc>
        <w:tc>
          <w:tcPr>
            <w:tcW w:type="dxa" w:w="4824"/>
          </w:tcPr>
          <w:p>
            <w:r>
              <w:rPr>
                <w:b/>
              </w:rPr>
              <w:t>Valor</w:t>
            </w:r>
          </w:p>
        </w:tc>
      </w:tr>
      <w:tr>
        <w:tc>
          <w:tcPr>
            <w:tcW w:type="dxa" w:w="4824"/>
          </w:tcPr>
          <w:p>
            <w:r>
              <w:t>Classes 30/04/2025</w:t>
            </w:r>
          </w:p>
        </w:tc>
        <w:tc>
          <w:tcPr>
            <w:tcW w:type="dxa" w:w="4824"/>
          </w:tcPr>
          <w:p>
            <w:r>
              <w:t>Classes 1 e ÚNICA</w:t>
            </w:r>
          </w:p>
        </w:tc>
      </w:tr>
      <w:tr>
        <w:tc>
          <w:tcPr>
            <w:tcW w:type="dxa" w:w="4824"/>
          </w:tcPr>
          <w:p>
            <w:r>
              <w:t>PL 30/04/2025</w:t>
            </w:r>
          </w:p>
        </w:tc>
        <w:tc>
          <w:tcPr>
            <w:tcW w:type="dxa" w:w="4824"/>
          </w:tcPr>
          <w:p>
            <w:r>
              <w:t>R$ 11.270.157,02</w:t>
            </w:r>
          </w:p>
        </w:tc>
      </w:tr>
      <w:tr>
        <w:tc>
          <w:tcPr>
            <w:tcW w:type="dxa" w:w="4824"/>
          </w:tcPr>
          <w:p>
            <w:r>
              <w:t>PL 31/08/2025</w:t>
            </w:r>
          </w:p>
        </w:tc>
        <w:tc>
          <w:tcPr>
            <w:tcW w:type="dxa" w:w="4824"/>
          </w:tcPr>
          <w:p>
            <w:r>
              <w:t>R$ 778,62 — caiu R$ 11.269.378,40 (−99,99%)</w:t>
            </w:r>
          </w:p>
        </w:tc>
      </w:tr>
      <w:tr>
        <w:tc>
          <w:tcPr>
            <w:tcW w:type="dxa" w:w="4824"/>
          </w:tcPr>
          <w:p>
            <w:r>
              <w:t>PL 31/12/2025</w:t>
            </w:r>
          </w:p>
        </w:tc>
        <w:tc>
          <w:tcPr>
            <w:tcW w:type="dxa" w:w="4824"/>
          </w:tcPr>
          <w:p>
            <w:r>
              <w:t>R$ 11.270.157,02 — retornou ao valor original (em centavos)</w:t>
            </w:r>
          </w:p>
        </w:tc>
      </w:tr>
      <w:tr>
        <w:tc>
          <w:tcPr>
            <w:tcW w:type="dxa" w:w="4824"/>
          </w:tcPr>
          <w:p>
            <w:r>
              <w:t>Achado</w:t>
            </w:r>
          </w:p>
        </w:tc>
        <w:tc>
          <w:tcPr>
            <w:tcW w:type="dxa" w:w="4824"/>
          </w:tcPr>
          <w:p>
            <w:r>
              <w:t>ANOMALIA CONTÁBIL GRAVE: variação de −99,99% em 4 meses, com retorno integral em valores idênticos centavo a centavo. Hipóteses: (a) reclassificação contábil temporária; (b) saída e retorno de cotista único; (c) erro de informe FNET. Exige requisição de informes trimestrais individualizados</w:t>
            </w:r>
          </w:p>
        </w:tc>
      </w:tr>
    </w:tbl>
    <w:p/>
    <w:p>
      <w:pPr>
        <w:pStyle w:val="Heading2"/>
      </w:pPr>
      <w:r>
        <w:rPr>
          <w:color w:val="7A0C0C"/>
        </w:rPr>
        <w:t>F6 — Bonifácio FIP — Classe Única Mult. Resp. Limitada</w:t>
      </w:r>
    </w:p>
    <w:tbl>
      <w:tblPr>
        <w:tblStyle w:val="LightGrid-Accent1"/>
        <w:tblW w:type="auto" w:w="0"/>
        <w:tblLook w:firstColumn="1" w:firstRow="1" w:lastColumn="0" w:lastRow="0" w:noHBand="0" w:noVBand="1" w:val="04A0"/>
      </w:tblPr>
      <w:tblGrid>
        <w:gridCol w:w="4824"/>
        <w:gridCol w:w="4824"/>
      </w:tblGrid>
      <w:tr>
        <w:tc>
          <w:tcPr>
            <w:tcW w:type="dxa" w:w="4824"/>
          </w:tcPr>
          <w:p>
            <w:r>
              <w:rPr>
                <w:b/>
              </w:rPr>
              <w:t>Atributo</w:t>
            </w:r>
          </w:p>
        </w:tc>
        <w:tc>
          <w:tcPr>
            <w:tcW w:type="dxa" w:w="4824"/>
          </w:tcPr>
          <w:p>
            <w:r>
              <w:rPr>
                <w:b/>
              </w:rPr>
              <w:t>Valor</w:t>
            </w:r>
          </w:p>
        </w:tc>
      </w:tr>
      <w:tr>
        <w:tc>
          <w:tcPr>
            <w:tcW w:type="dxa" w:w="4824"/>
          </w:tcPr>
          <w:p>
            <w:r>
              <w:t>Constituição</w:t>
            </w:r>
          </w:p>
        </w:tc>
        <w:tc>
          <w:tcPr>
            <w:tcW w:type="dxa" w:w="4824"/>
          </w:tcPr>
          <w:p>
            <w:r>
              <w:t>11/02/2025 — durante a litispendência</w:t>
            </w:r>
          </w:p>
        </w:tc>
      </w:tr>
      <w:tr>
        <w:tc>
          <w:tcPr>
            <w:tcW w:type="dxa" w:w="4824"/>
          </w:tcPr>
          <w:p>
            <w:r>
              <w:t>Denominação completa</w:t>
            </w:r>
          </w:p>
        </w:tc>
        <w:tc>
          <w:tcPr>
            <w:tcW w:type="dxa" w:w="4824"/>
          </w:tcPr>
          <w:p>
            <w:r>
              <w:t>"Classe Única Mult. Responsabilidade Limitada do Bonifácio Fu[ndo]"</w:t>
            </w:r>
          </w:p>
        </w:tc>
      </w:tr>
      <w:tr>
        <w:tc>
          <w:tcPr>
            <w:tcW w:type="dxa" w:w="4824"/>
          </w:tcPr>
          <w:p>
            <w:r>
              <w:t>Endereço cadastral</w:t>
            </w:r>
          </w:p>
        </w:tc>
        <w:tc>
          <w:tcPr>
            <w:tcW w:type="dxa" w:w="4824"/>
          </w:tcPr>
          <w:p>
            <w:r>
              <w:t>Rua Dr. Eduardo de Souza Aranha, 153, 4º andar — mesmo endereço de OSLO/FRAM/Ajaccio</w:t>
            </w:r>
          </w:p>
        </w:tc>
      </w:tr>
      <w:tr>
        <w:tc>
          <w:tcPr>
            <w:tcW w:type="dxa" w:w="4824"/>
          </w:tcPr>
          <w:p>
            <w:r>
              <w:t>PL 30/04/2025</w:t>
            </w:r>
          </w:p>
        </w:tc>
        <w:tc>
          <w:tcPr>
            <w:tcW w:type="dxa" w:w="4824"/>
          </w:tcPr>
          <w:p>
            <w:r>
              <w:t>R$ 18.135.551,50</w:t>
            </w:r>
          </w:p>
        </w:tc>
      </w:tr>
      <w:tr>
        <w:tc>
          <w:tcPr>
            <w:tcW w:type="dxa" w:w="4824"/>
          </w:tcPr>
          <w:p>
            <w:r>
              <w:t>PL 31/08/2025</w:t>
            </w:r>
          </w:p>
        </w:tc>
        <w:tc>
          <w:tcPr>
            <w:tcW w:type="dxa" w:w="4824"/>
          </w:tcPr>
          <w:p>
            <w:r>
              <w:t>R$ 65.625.393,69 (+261,8% em 4 meses)</w:t>
            </w:r>
          </w:p>
        </w:tc>
      </w:tr>
      <w:tr>
        <w:tc>
          <w:tcPr>
            <w:tcW w:type="dxa" w:w="4824"/>
          </w:tcPr>
          <w:p>
            <w:r>
              <w:t>PL 31/12/2025</w:t>
            </w:r>
          </w:p>
        </w:tc>
        <w:tc>
          <w:tcPr>
            <w:tcW w:type="dxa" w:w="4824"/>
          </w:tcPr>
          <w:p>
            <w:r>
              <w:t>R$ 61.280.392,87</w:t>
            </w:r>
          </w:p>
        </w:tc>
      </w:tr>
      <w:tr>
        <w:tc>
          <w:tcPr>
            <w:tcW w:type="dxa" w:w="4824"/>
          </w:tcPr>
          <w:p>
            <w:r>
              <w:t>PL 30/04/2026</w:t>
            </w:r>
          </w:p>
        </w:tc>
        <w:tc>
          <w:tcPr>
            <w:tcW w:type="dxa" w:w="4824"/>
          </w:tcPr>
          <w:p>
            <w:r>
              <w:t>R$ 61.194.108,98</w:t>
            </w:r>
          </w:p>
        </w:tc>
      </w:tr>
      <w:tr>
        <w:tc>
          <w:tcPr>
            <w:tcW w:type="dxa" w:w="4824"/>
          </w:tcPr>
          <w:p>
            <w:r>
              <w:t>Variação 12 meses</w:t>
            </w:r>
          </w:p>
        </w:tc>
        <w:tc>
          <w:tcPr>
            <w:tcW w:type="dxa" w:w="4824"/>
          </w:tcPr>
          <w:p>
            <w:r>
              <w:t>+237,69% (+R$ 43,1 MM)</w:t>
            </w:r>
          </w:p>
        </w:tc>
      </w:tr>
      <w:tr>
        <w:tc>
          <w:tcPr>
            <w:tcW w:type="dxa" w:w="4824"/>
          </w:tcPr>
          <w:p>
            <w:r>
              <w:t>Achado</w:t>
            </w:r>
          </w:p>
        </w:tc>
        <w:tc>
          <w:tcPr>
            <w:tcW w:type="dxa" w:w="4824"/>
          </w:tcPr>
          <w:p>
            <w:r>
              <w:t>Fundo constituído durante o litígio, com inflação patrimonial de R$ 47,5 MM no Q2 2025. Hipótese de receptor pós-constrição — natureza dos aportes a apurar via informes trimestrais CVM</w:t>
            </w:r>
          </w:p>
        </w:tc>
      </w:tr>
    </w:tbl>
    <w:p/>
    <w:p>
      <w:pPr>
        <w:pStyle w:val="Heading1"/>
      </w:pPr>
      <w:r>
        <w:rPr>
          <w:color w:val="1A1A1A"/>
        </w:rPr>
        <w:t>V. Padrão de fluxos — convergência cronométrica</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rPr>
              <w:t>Período</w:t>
            </w:r>
          </w:p>
        </w:tc>
        <w:tc>
          <w:tcPr>
            <w:tcW w:type="dxa" w:w="1608"/>
          </w:tcPr>
          <w:p>
            <w:r>
              <w:rPr>
                <w:b/>
              </w:rPr>
              <w:t>Ajaccio (Δ R$ MM)</w:t>
            </w:r>
          </w:p>
        </w:tc>
        <w:tc>
          <w:tcPr>
            <w:tcW w:type="dxa" w:w="1608"/>
          </w:tcPr>
          <w:p>
            <w:r>
              <w:rPr>
                <w:b/>
              </w:rPr>
              <w:t>Kristian (Δ R$ MM)</w:t>
            </w:r>
          </w:p>
        </w:tc>
        <w:tc>
          <w:tcPr>
            <w:tcW w:type="dxa" w:w="1608"/>
          </w:tcPr>
          <w:p>
            <w:r>
              <w:rPr>
                <w:b/>
              </w:rPr>
              <w:t>Bonifácio (Δ R$ MM)</w:t>
            </w:r>
          </w:p>
        </w:tc>
        <w:tc>
          <w:tcPr>
            <w:tcW w:type="dxa" w:w="1608"/>
          </w:tcPr>
          <w:p>
            <w:r>
              <w:rPr>
                <w:b/>
              </w:rPr>
              <w:t>Volimo (Δ R$ MM)</w:t>
            </w:r>
          </w:p>
        </w:tc>
        <w:tc>
          <w:tcPr>
            <w:tcW w:type="dxa" w:w="1608"/>
          </w:tcPr>
          <w:p>
            <w:r>
              <w:rPr>
                <w:b/>
              </w:rPr>
              <w:t>Padrão</w:t>
            </w:r>
          </w:p>
        </w:tc>
      </w:tr>
      <w:tr>
        <w:tc>
          <w:tcPr>
            <w:tcW w:type="dxa" w:w="1608"/>
          </w:tcPr>
          <w:p>
            <w:r>
              <w:t>Q2 2025 (abr → ago)</w:t>
            </w:r>
          </w:p>
        </w:tc>
        <w:tc>
          <w:tcPr>
            <w:tcW w:type="dxa" w:w="1608"/>
          </w:tcPr>
          <w:p>
            <w:r>
              <w:t>−59,7</w:t>
            </w:r>
          </w:p>
        </w:tc>
        <w:tc>
          <w:tcPr>
            <w:tcW w:type="dxa" w:w="1608"/>
          </w:tcPr>
          <w:p>
            <w:r>
              <w:t>−132,4</w:t>
            </w:r>
          </w:p>
        </w:tc>
        <w:tc>
          <w:tcPr>
            <w:tcW w:type="dxa" w:w="1608"/>
          </w:tcPr>
          <w:p>
            <w:r>
              <w:t>+47,5</w:t>
            </w:r>
          </w:p>
        </w:tc>
        <w:tc>
          <w:tcPr>
            <w:tcW w:type="dxa" w:w="1608"/>
          </w:tcPr>
          <w:p>
            <w:r>
              <w:t>−8,6</w:t>
            </w:r>
          </w:p>
        </w:tc>
        <w:tc>
          <w:tcPr>
            <w:tcW w:type="dxa" w:w="1608"/>
          </w:tcPr>
          <w:p>
            <w:r>
              <w:t>Bonifácio +47 enquanto Ajaccio −60</w:t>
            </w:r>
          </w:p>
        </w:tc>
      </w:tr>
      <w:tr>
        <w:tc>
          <w:tcPr>
            <w:tcW w:type="dxa" w:w="1608"/>
          </w:tcPr>
          <w:p>
            <w:r>
              <w:t>Q3 2025 (ago → dez)</w:t>
            </w:r>
          </w:p>
        </w:tc>
        <w:tc>
          <w:tcPr>
            <w:tcW w:type="dxa" w:w="1608"/>
          </w:tcPr>
          <w:p>
            <w:r>
              <w:t>−102,6</w:t>
            </w:r>
          </w:p>
        </w:tc>
        <w:tc>
          <w:tcPr>
            <w:tcW w:type="dxa" w:w="1608"/>
          </w:tcPr>
          <w:p>
            <w:r>
              <w:t>+117,2</w:t>
            </w:r>
          </w:p>
        </w:tc>
        <w:tc>
          <w:tcPr>
            <w:tcW w:type="dxa" w:w="1608"/>
          </w:tcPr>
          <w:p>
            <w:r>
              <w:t>−4,3</w:t>
            </w:r>
          </w:p>
        </w:tc>
        <w:tc>
          <w:tcPr>
            <w:tcW w:type="dxa" w:w="1608"/>
          </w:tcPr>
          <w:p>
            <w:r>
              <w:t>−14,8</w:t>
            </w:r>
          </w:p>
        </w:tc>
        <w:tc>
          <w:tcPr>
            <w:tcW w:type="dxa" w:w="1608"/>
          </w:tcPr>
          <w:p>
            <w:r>
              <w:t>Kristian +117 enquanto Ajaccio −103</w:t>
            </w:r>
          </w:p>
        </w:tc>
      </w:tr>
      <w:tr>
        <w:tc>
          <w:tcPr>
            <w:tcW w:type="dxa" w:w="1608"/>
          </w:tcPr>
          <w:p>
            <w:r>
              <w:t>Q1 2026 (dez → abr)</w:t>
            </w:r>
          </w:p>
        </w:tc>
        <w:tc>
          <w:tcPr>
            <w:tcW w:type="dxa" w:w="1608"/>
          </w:tcPr>
          <w:p>
            <w:r>
              <w:t>−0,5</w:t>
            </w:r>
          </w:p>
        </w:tc>
        <w:tc>
          <w:tcPr>
            <w:tcW w:type="dxa" w:w="1608"/>
          </w:tcPr>
          <w:p>
            <w:r>
              <w:t>+690,0</w:t>
            </w:r>
          </w:p>
        </w:tc>
        <w:tc>
          <w:tcPr>
            <w:tcW w:type="dxa" w:w="1608"/>
          </w:tcPr>
          <w:p>
            <w:r>
              <w:t>−0,1</w:t>
            </w:r>
          </w:p>
        </w:tc>
        <w:tc>
          <w:tcPr>
            <w:tcW w:type="dxa" w:w="1608"/>
          </w:tcPr>
          <w:p>
            <w:r>
              <w:t>+0,2</w:t>
            </w:r>
          </w:p>
        </w:tc>
        <w:tc>
          <w:tcPr>
            <w:tcW w:type="dxa" w:w="1608"/>
          </w:tcPr>
          <w:p>
            <w:r>
              <w:t>Kristian +690 (sem contraparte clara)</w:t>
            </w:r>
          </w:p>
        </w:tc>
      </w:tr>
    </w:tbl>
    <w:p/>
    <w:p>
      <w:pPr>
        <w:jc w:val="both"/>
      </w:pPr>
      <w:r>
        <w:rPr>
          <w:b/>
          <w:i w:val="0"/>
        </w:rPr>
        <w:t>Observação contábil-forense: a inflação de R$ 690 MM no Kristian no Q1 2026 não tem contraparte aritmética nos demais fundos analisados (Ajaccio e Volimo somam −R$ 0,3 MM no período). O crescimento do Kristian neste período PROVÉM DE FONTE FORA dos cinco fundos analisados — possivelmente do conjunto de 74 fundos sob administração da FRAM/OSLO, ou de aporte de novo cotista, ou de reavaliação. Exige verificação por informe trimestral CVM e composição de carteira.</w:t>
      </w:r>
    </w:p>
    <w:p>
      <w:pPr>
        <w:pStyle w:val="Heading1"/>
      </w:pPr>
      <w:r>
        <w:rPr>
          <w:color w:val="1A1A1A"/>
        </w:rPr>
        <w:t>VI. Cotistas — limitações de divulgação e providências</w:t>
      </w:r>
    </w:p>
    <w:p>
      <w:pPr>
        <w:jc w:val="both"/>
      </w:pPr>
      <w:r>
        <w:rPr>
          <w:b w:val="0"/>
          <w:i w:val="0"/>
        </w:rPr>
        <w:t>As planilhas FNET fornecem o campo "cotistas" como VAZIO em todas as ocorrências. A não-divulgação é regra para FIP fechados sob a RCVM 175/2022 (informação restrita a cotistas, administrador, auditor e órgãos reguladores).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Via</w:t>
            </w:r>
          </w:p>
        </w:tc>
        <w:tc>
          <w:tcPr>
            <w:tcW w:type="dxa" w:w="3216"/>
          </w:tcPr>
          <w:p>
            <w:r>
              <w:rPr>
                <w:b/>
              </w:rPr>
              <w:t>Instrumento</w:t>
            </w:r>
          </w:p>
        </w:tc>
        <w:tc>
          <w:tcPr>
            <w:tcW w:type="dxa" w:w="3216"/>
          </w:tcPr>
          <w:p>
            <w:r>
              <w:rPr>
                <w:b/>
              </w:rPr>
              <w:t>Janela</w:t>
            </w:r>
          </w:p>
        </w:tc>
      </w:tr>
      <w:tr>
        <w:tc>
          <w:tcPr>
            <w:tcW w:type="dxa" w:w="3216"/>
          </w:tcPr>
          <w:p>
            <w:r>
              <w:t>1ª VF Pinheiros</w:t>
            </w:r>
          </w:p>
        </w:tc>
        <w:tc>
          <w:tcPr>
            <w:tcW w:type="dxa" w:w="3216"/>
          </w:tcPr>
          <w:p>
            <w:r>
              <w:t>Ofício à FRAM/OSLO Capital DTVM (CPC 396-404): regulamento, livro de cotistas, boletins, acordo, demonstrações auditadas</w:t>
            </w:r>
          </w:p>
        </w:tc>
        <w:tc>
          <w:tcPr>
            <w:tcW w:type="dxa" w:w="3216"/>
          </w:tcPr>
          <w:p>
            <w:r>
              <w:t>Imediata</w:t>
            </w:r>
          </w:p>
        </w:tc>
      </w:tr>
      <w:tr>
        <w:tc>
          <w:tcPr>
            <w:tcW w:type="dxa" w:w="3216"/>
          </w:tcPr>
          <w:p>
            <w:r>
              <w:t>CVM</w:t>
            </w:r>
          </w:p>
        </w:tc>
        <w:tc>
          <w:tcPr>
            <w:tcW w:type="dxa" w:w="3216"/>
          </w:tcPr>
          <w:p>
            <w:r>
              <w:t>Ofício à SIN — informes trimestrais individualizados dos cinco fundos</w:t>
            </w:r>
          </w:p>
        </w:tc>
        <w:tc>
          <w:tcPr>
            <w:tcW w:type="dxa" w:w="3216"/>
          </w:tcPr>
          <w:p>
            <w:r>
              <w:t>Semanas</w:t>
            </w:r>
          </w:p>
        </w:tc>
      </w:tr>
      <w:tr>
        <w:tc>
          <w:tcPr>
            <w:tcW w:type="dxa" w:w="3216"/>
          </w:tcPr>
          <w:p>
            <w:r>
              <w:t>BTG / Itaú / Bradesco / Vinci / outros</w:t>
            </w:r>
          </w:p>
        </w:tc>
        <w:tc>
          <w:tcPr>
            <w:tcW w:type="dxa" w:w="3216"/>
          </w:tcPr>
          <w:p>
            <w:r>
              <w:t>Ofícios aos distribuidores potenciais — relacionamentos de custódia em nome do Requerido</w:t>
            </w:r>
          </w:p>
        </w:tc>
        <w:tc>
          <w:tcPr>
            <w:tcW w:type="dxa" w:w="3216"/>
          </w:tcPr>
          <w:p>
            <w:r>
              <w:t>Semanas</w:t>
            </w:r>
          </w:p>
        </w:tc>
      </w:tr>
    </w:tbl>
    <w:p/>
    <w:p>
      <w:pPr>
        <w:pStyle w:val="Heading1"/>
      </w:pPr>
      <w:r>
        <w:rPr>
          <w:color w:val="1A1A1A"/>
        </w:rPr>
        <w:t>VII. Anomalias e ressalvas — síntese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t>#</w:t>
            </w:r>
          </w:p>
        </w:tc>
        <w:tc>
          <w:tcPr>
            <w:tcW w:type="dxa" w:w="2412"/>
          </w:tcPr>
          <w:p>
            <w:r>
              <w:rPr>
                <w:b/>
              </w:rPr>
              <w:t>Anomalia</w:t>
            </w:r>
          </w:p>
        </w:tc>
        <w:tc>
          <w:tcPr>
            <w:tcW w:type="dxa" w:w="2412"/>
          </w:tcPr>
          <w:p>
            <w:r>
              <w:rPr>
                <w:b/>
              </w:rPr>
              <w:t>Fonte</w:t>
            </w:r>
          </w:p>
        </w:tc>
        <w:tc>
          <w:tcPr>
            <w:tcW w:type="dxa" w:w="2412"/>
          </w:tcPr>
          <w:p>
            <w:r>
              <w:rPr>
                <w:b/>
              </w:rPr>
              <w:t>Risco</w:t>
            </w:r>
          </w:p>
        </w:tc>
      </w:tr>
      <w:tr>
        <w:tc>
          <w:tcPr>
            <w:tcW w:type="dxa" w:w="2412"/>
          </w:tcPr>
          <w:p>
            <w:r>
              <w:t>A1</w:t>
            </w:r>
          </w:p>
        </w:tc>
        <w:tc>
          <w:tcPr>
            <w:tcW w:type="dxa" w:w="2412"/>
          </w:tcPr>
          <w:p>
            <w:r>
              <w:t>Subavaliação documentada de R$ 863.938 mil (440,86% do PL) do Ajaccio em 28/02/2022</w:t>
            </w:r>
          </w:p>
        </w:tc>
        <w:tc>
          <w:tcPr>
            <w:tcW w:type="dxa" w:w="2412"/>
          </w:tcPr>
          <w:p>
            <w:r>
              <w:t>Grant Thornton — opinião adversa</w:t>
            </w:r>
          </w:p>
        </w:tc>
        <w:tc>
          <w:tcPr>
            <w:tcW w:type="dxa" w:w="2412"/>
          </w:tcPr>
          <w:p>
            <w:r>
              <w:t>CRÍTICO</w:t>
            </w:r>
          </w:p>
        </w:tc>
      </w:tr>
      <w:tr>
        <w:tc>
          <w:tcPr>
            <w:tcW w:type="dxa" w:w="2412"/>
          </w:tcPr>
          <w:p>
            <w:r>
              <w:t>A2</w:t>
            </w:r>
          </w:p>
        </w:tc>
        <w:tc>
          <w:tcPr>
            <w:tcW w:type="dxa" w:w="2412"/>
          </w:tcPr>
          <w:p>
            <w:r>
              <w:t>Carteira do Ajaccio 100% em ativo único (E-Vino) sem mercado ativo de referência</w:t>
            </w:r>
          </w:p>
        </w:tc>
        <w:tc>
          <w:tcPr>
            <w:tcW w:type="dxa" w:w="2412"/>
          </w:tcPr>
          <w:p>
            <w:r>
              <w:t>KPMG — opinião com ressalva</w:t>
            </w:r>
          </w:p>
        </w:tc>
        <w:tc>
          <w:tcPr>
            <w:tcW w:type="dxa" w:w="2412"/>
          </w:tcPr>
          <w:p>
            <w:r>
              <w:t>ALTO</w:t>
            </w:r>
          </w:p>
        </w:tc>
      </w:tr>
      <w:tr>
        <w:tc>
          <w:tcPr>
            <w:tcW w:type="dxa" w:w="2412"/>
          </w:tcPr>
          <w:p>
            <w:r>
              <w:t>A3</w:t>
            </w:r>
          </w:p>
        </w:tc>
        <w:tc>
          <w:tcPr>
            <w:tcW w:type="dxa" w:w="2412"/>
          </w:tcPr>
          <w:p>
            <w:r>
              <w:t>Caixa do Ajaccio em R$ 9 mil em 30/11/2023 (sobre PL de R$ 1,53 bi)</w:t>
            </w:r>
          </w:p>
        </w:tc>
        <w:tc>
          <w:tcPr>
            <w:tcW w:type="dxa" w:w="2412"/>
          </w:tcPr>
          <w:p>
            <w:r>
              <w:t>KPMG — Demonstração da posição financeira</w:t>
            </w:r>
          </w:p>
        </w:tc>
        <w:tc>
          <w:tcPr>
            <w:tcW w:type="dxa" w:w="2412"/>
          </w:tcPr>
          <w:p>
            <w:r>
              <w:t>ALTO</w:t>
            </w:r>
          </w:p>
        </w:tc>
      </w:tr>
      <w:tr>
        <w:tc>
          <w:tcPr>
            <w:tcW w:type="dxa" w:w="2412"/>
          </w:tcPr>
          <w:p>
            <w:r>
              <w:t>A4</w:t>
            </w:r>
          </w:p>
        </w:tc>
        <w:tc>
          <w:tcPr>
            <w:tcW w:type="dxa" w:w="2412"/>
          </w:tcPr>
          <w:p>
            <w:r>
              <w:t>Reestruturação do Ajaccio em 9 subclasses entre 30/04 e 31/08/2025 — durante a litispendência</w:t>
            </w:r>
          </w:p>
        </w:tc>
        <w:tc>
          <w:tcPr>
            <w:tcW w:type="dxa" w:w="2412"/>
          </w:tcPr>
          <w:p>
            <w:r>
              <w:t>Planilha FNET CVM</w:t>
            </w:r>
          </w:p>
        </w:tc>
        <w:tc>
          <w:tcPr>
            <w:tcW w:type="dxa" w:w="2412"/>
          </w:tcPr>
          <w:p>
            <w:r>
              <w:t>ALTO</w:t>
            </w:r>
          </w:p>
        </w:tc>
      </w:tr>
      <w:tr>
        <w:tc>
          <w:tcPr>
            <w:tcW w:type="dxa" w:w="2412"/>
          </w:tcPr>
          <w:p>
            <w:r>
              <w:t>A5</w:t>
            </w:r>
          </w:p>
        </w:tc>
        <w:tc>
          <w:tcPr>
            <w:tcW w:type="dxa" w:w="2412"/>
          </w:tcPr>
          <w:p>
            <w:r>
              <w:t>Inflação de R$ 47,5 MM no Bonifácio em Q2 2025, em paralelo a deflação de R$ 59,7 MM no Ajaccio — possível migração</w:t>
            </w:r>
          </w:p>
        </w:tc>
        <w:tc>
          <w:tcPr>
            <w:tcW w:type="dxa" w:w="2412"/>
          </w:tcPr>
          <w:p>
            <w:r>
              <w:t>Planilha FNET CVM</w:t>
            </w:r>
          </w:p>
        </w:tc>
        <w:tc>
          <w:tcPr>
            <w:tcW w:type="dxa" w:w="2412"/>
          </w:tcPr>
          <w:p>
            <w:r>
              <w:t>CRÍTICO</w:t>
            </w:r>
          </w:p>
        </w:tc>
      </w:tr>
      <w:tr>
        <w:tc>
          <w:tcPr>
            <w:tcW w:type="dxa" w:w="2412"/>
          </w:tcPr>
          <w:p>
            <w:r>
              <w:t>A6</w:t>
            </w:r>
          </w:p>
        </w:tc>
        <w:tc>
          <w:tcPr>
            <w:tcW w:type="dxa" w:w="2412"/>
          </w:tcPr>
          <w:p>
            <w:r>
              <w:t>Salto de R$ 690 MM no Kristian em Q1 2026, sem contraparte clara</w:t>
            </w:r>
          </w:p>
        </w:tc>
        <w:tc>
          <w:tcPr>
            <w:tcW w:type="dxa" w:w="2412"/>
          </w:tcPr>
          <w:p>
            <w:r>
              <w:t>Planilha FNET CVM</w:t>
            </w:r>
          </w:p>
        </w:tc>
        <w:tc>
          <w:tcPr>
            <w:tcW w:type="dxa" w:w="2412"/>
          </w:tcPr>
          <w:p>
            <w:r>
              <w:t>ALTO — investigar</w:t>
            </w:r>
          </w:p>
        </w:tc>
      </w:tr>
      <w:tr>
        <w:tc>
          <w:tcPr>
            <w:tcW w:type="dxa" w:w="2412"/>
          </w:tcPr>
          <w:p>
            <w:r>
              <w:t>A7</w:t>
            </w:r>
          </w:p>
        </w:tc>
        <w:tc>
          <w:tcPr>
            <w:tcW w:type="dxa" w:w="2412"/>
          </w:tcPr>
          <w:p>
            <w:r>
              <w:t>Variação de −99,99% no Oslo FIP em 4 meses com retorno integral</w:t>
            </w:r>
          </w:p>
        </w:tc>
        <w:tc>
          <w:tcPr>
            <w:tcW w:type="dxa" w:w="2412"/>
          </w:tcPr>
          <w:p>
            <w:r>
              <w:t>Planilha FNET CVM</w:t>
            </w:r>
          </w:p>
        </w:tc>
        <w:tc>
          <w:tcPr>
            <w:tcW w:type="dxa" w:w="2412"/>
          </w:tcPr>
          <w:p>
            <w:r>
              <w:t>ALTO — investigar</w:t>
            </w:r>
          </w:p>
        </w:tc>
      </w:tr>
      <w:tr>
        <w:tc>
          <w:tcPr>
            <w:tcW w:type="dxa" w:w="2412"/>
          </w:tcPr>
          <w:p>
            <w:r>
              <w:t>A8</w:t>
            </w:r>
          </w:p>
        </w:tc>
        <w:tc>
          <w:tcPr>
            <w:tcW w:type="dxa" w:w="2412"/>
          </w:tcPr>
          <w:p>
            <w:r>
              <w:t>Bonifácio constituído em 11/02/2025 (durante litígio) no mesmo endereço da OSLO/FRAM</w:t>
            </w:r>
          </w:p>
        </w:tc>
        <w:tc>
          <w:tcPr>
            <w:tcW w:type="dxa" w:w="2412"/>
          </w:tcPr>
          <w:p>
            <w:r>
              <w:t>Receita Federal + relatórios cadastrais</w:t>
            </w:r>
          </w:p>
        </w:tc>
        <w:tc>
          <w:tcPr>
            <w:tcW w:type="dxa" w:w="2412"/>
          </w:tcPr>
          <w:p>
            <w:r>
              <w:t>CRÍTICO</w:t>
            </w:r>
          </w:p>
        </w:tc>
      </w:tr>
    </w:tbl>
    <w:p/>
    <w:p>
      <w:pPr>
        <w:pStyle w:val="Heading1"/>
      </w:pPr>
      <w:r>
        <w:rPr>
          <w:color w:val="1A1A1A"/>
        </w:rPr>
        <w:t>VIII. Recomendações de diligência adicional</w:t>
      </w:r>
    </w:p>
    <w:p>
      <w:pPr>
        <w:jc w:val="both"/>
      </w:pPr>
      <w:r>
        <w:rPr>
          <w:b w:val="0"/>
          <w:i w:val="0"/>
        </w:rPr>
        <w:t>1. Demonstrações contábeis 2024-2025 do Ajaccio FIP — exibição pela administradora; verificar continuidade da concentração 100% em E-Vino e evolução do laudo de marcação a valor justo.</w:t>
      </w:r>
    </w:p>
    <w:p>
      <w:pPr>
        <w:jc w:val="both"/>
      </w:pPr>
      <w:r>
        <w:rPr>
          <w:b w:val="0"/>
          <w:i w:val="0"/>
        </w:rPr>
        <w:t>2. Composição da carteira de todos os fundos no informe trimestral CVM — em especial Kristian (origem do salto de R$ 690 MM no Q1 2026) e Bonifácio (ativo subjacente).</w:t>
      </w:r>
    </w:p>
    <w:p>
      <w:pPr>
        <w:jc w:val="both"/>
      </w:pPr>
      <w:r>
        <w:rPr>
          <w:b w:val="0"/>
          <w:i w:val="0"/>
        </w:rPr>
        <w:t>3. Histórico de cotistas dos seis fundos — via ofício à administradora (FRAM/OSLO Capital DTVM, CNPJ 13.673.855/0001-25), período 01/01/2021 a 30/04/2026.</w:t>
      </w:r>
    </w:p>
    <w:p>
      <w:pPr>
        <w:jc w:val="both"/>
      </w:pPr>
      <w:r>
        <w:rPr>
          <w:b w:val="0"/>
          <w:i w:val="0"/>
        </w:rPr>
        <w:t>4. Movimentações no Oslo FIP — apurar variação de −99,99% e retorno integral; possível reclassificação ou erro de informe.</w:t>
      </w:r>
    </w:p>
    <w:p>
      <w:pPr>
        <w:jc w:val="both"/>
      </w:pPr>
      <w:r>
        <w:rPr>
          <w:b w:val="0"/>
          <w:i w:val="0"/>
        </w:rPr>
        <w:t>5. Ata de constituição e regulamento do Bonifácio FIP — certidão CVM; quem são os cotistas iniciais, quem realizou aportes de R$ 47 MM em Q2 2025, qual a carteira atual.</w:t>
      </w:r>
    </w:p>
    <w:p>
      <w:pPr>
        <w:jc w:val="both"/>
      </w:pPr>
      <w:r>
        <w:rPr>
          <w:b w:val="0"/>
          <w:i w:val="0"/>
        </w:rPr>
        <w:t>6. Reestruturação do Ajaccio em 9 subclasses entre 30/04 e 31/08/2025 — exibição da ata de assembleia, regulamento aditado, parecer do administrador (RCVM 175/2022 art. 39).</w:t>
      </w:r>
    </w:p>
    <w:p>
      <w:pPr>
        <w:jc w:val="both"/>
      </w:pPr>
      <w:r>
        <w:rPr>
          <w:b w:val="0"/>
          <w:i w:val="0"/>
        </w:rPr>
        <w:t>7. Auditor 2024-2025 do Ajaccio — verificar continuidade da KPMG ou nova auditoria; obter parecer e relatório dos auditores.</w:t>
      </w:r>
    </w:p>
    <w:p>
      <w:pPr>
        <w:pStyle w:val="Heading1"/>
      </w:pPr>
      <w:r>
        <w:rPr>
          <w:color w:val="1A1A1A"/>
        </w:rPr>
        <w:t>IX. Síntese executiva final</w:t>
      </w:r>
    </w:p>
    <w:p>
      <w:pPr>
        <w:jc w:val="both"/>
      </w:pPr>
      <w:r>
        <w:rPr>
          <w:b/>
          <w:i w:val="0"/>
        </w:rPr>
        <w:t>O conjunto de fundos analisado opera, na data-base de 30/04/2026, PL agregado de aproximadamente R$ 4,03 bilhões — magnitude que confirma a centralidade do ecossistema FRAM/OSLO Capital DTVM no caso. No período de 12 meses, observam-se simultaneamente: (i) deflação significativa do Ajaccio (−R$ 162,7 MM, −10,4%); (ii) inflação significativa do Kristian (+R$ 674,8 MM, +40,3%); (iii) inflação proporcionalmente extrema do Bonifácio (+R$ 43,1 MM, +237,7%) — em fundo constituído em 11/02/2025, no curso do litígio. Esse padrão, somado às duas ressalvas de auditoria do Ajaccio, à concentração 100% do PL em ativo único de companhia fechada (E-Vino), e ao caixa operacional de R$ 9 mil em PL de R$ 1,53 bi, configura quadro contábil-financeiro que EXIGE as diligências adicionais do § VIII.</w:t>
      </w:r>
    </w:p>
    <w:p>
      <w:pPr>
        <w:pStyle w:val="Heading1"/>
      </w:pPr>
      <w:r>
        <w:rPr>
          <w:color w:val="1A1A1A"/>
        </w:rPr>
        <w:t>X. Conformidade metodológica</w:t>
      </w:r>
    </w:p>
    <w:p>
      <w:pPr>
        <w:jc w:val="both"/>
      </w:pPr>
      <w:r>
        <w:rPr>
          <w:b w:val="0"/>
          <w:i w:val="0"/>
        </w:rPr>
        <w:t>Este relatório é instrumento técnico-contábil-financeiro de apoio ao raciocínio jurídico da equipe; não é perícia oficial. Toda afirmação fática está ancorada em (i) planilhas FNET/CVM oficiais (4 datas-base); (ii) Consulta de Registro de Fundo CVM; (iii) pareceres dos auditores Grant Thornton (227QP-015-PB, opinião adversa) e KPMG (KPDS 1302836, opinião com ressalva); (iv) demonstrações contábeis publicadas (Res. CVM 175/2022).</w:t>
      </w:r>
    </w:p>
    <w:p>
      <w:pPr>
        <w:jc w:val="both"/>
      </w:pPr>
      <w:r>
        <w:rPr>
          <w:b w:val="0"/>
          <w:i/>
        </w:rPr>
        <w:t>As inferências sobre migração patrimonial entre fundos (A5, A6) são hipóteses contábeis A VERIFICAR, sustentadas por convergência cronométrica e magnitude compatível, mas dependentes da exibição dos informes trimestrais individualizados. Não constituem afirmação de fato ou imputação de conduta — são objeto de diligência recomendada.</w:t>
      </w:r>
    </w:p>
    <w:p>
      <w:pPr>
        <w:jc w:val="both"/>
      </w:pPr>
      <w:r>
        <w:rPr>
          <w:b w:val="0"/>
          <w:i w:val="0"/>
        </w:rPr>
        <w:t>Conversão em laudo subscrito por contador habilitado (CRC) e em peça subscrita por OAB antes de qualquer uso processual.</w:t>
      </w:r>
    </w:p>
    <w:p>
      <w:pPr>
        <w:jc w:val="center"/>
      </w:pPr>
      <w:r>
        <w:rPr>
          <w:i/>
          <w:sz w:val="17"/>
        </w:rPr>
        <w:t>Série DOSSIÊS E NOTAS TÉCNICAS — documento 22 · 14/06/2026 · INSTRUMENTO INTERNO · CONFIDENCIAL</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