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· PARA REVISÃO DOS PATRONOS E PROTOCOLO</w:t>
      </w:r>
    </w:p>
    <w:p>
      <w:pPr>
        <w:jc w:val="center"/>
      </w:pPr>
      <w:r>
        <w:rPr>
          <w:b/>
          <w:color w:val="1B3A5B"/>
          <w:sz w:val="32"/>
        </w:rPr>
        <w:t>80 — Relatório Consolidado REVISADO</w:t>
      </w:r>
    </w:p>
    <w:p>
      <w:pPr>
        <w:jc w:val="center"/>
      </w:pPr>
      <w:r>
        <w:rPr>
          <w:i/>
          <w:sz w:val="22"/>
        </w:rPr>
        <w:t>Cenários A (apenas PIX direto) e B (PIX + recebimentos via advogados)</w:t>
      </w:r>
    </w:p>
    <w:p>
      <w:pPr>
        <w:spacing w:before="200"/>
        <w:jc w:val="center"/>
      </w:pPr>
      <w:r>
        <w:rPr>
          <w:b/>
          <w:color w:val="B00020"/>
          <w:sz w:val="26"/>
        </w:rPr>
        <w:t>CENÁRIO A: R$ 850.535,24    |    CENÁRIO B: R$ 713.104,30    |    Δ R$ 137.430,94</w:t>
      </w:r>
    </w:p>
    <w:p>
      <w:pPr>
        <w:pStyle w:val="Heading2"/>
      </w:pPr>
      <w:r>
        <w:rPr>
          <w:color w:val="1B3A5B"/>
        </w:rPr>
        <w:t>I — Síntese dos dois cenários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Cenário A (Conservador)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Cenário B (Inclusivo)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Δ B − A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Só PIX direto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PIX direto + via adv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Pagamentos considerados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R$ 214.129,08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R$ 453.284,86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+ R$ 239.155,78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Devido total (18 m)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R$ 908.280,00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R$ 908.280,00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Débito alimentar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R$ 744.880,00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R$ 621.589,96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− R$ 123.290,04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Saúde não reembolsada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R$ 25.900,00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R$ 25.900,00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DÉBITO PRINCIPAL TOTAL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R$ 770.780,00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R$ 647.489,96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− R$ 123.290,04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Juros SELIC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R$ 79.755,24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R$ 65.614,34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− R$ 14.140,90</w:t>
            </w:r>
          </w:p>
        </w:tc>
      </w:tr>
      <w:tr>
        <w:tc>
          <w:tcPr>
            <w:tcW w:type="dxa" w:w="2635"/>
            <w:shd w:val="clear" w:color="auto" w:fill="FDECEF"/>
          </w:tcPr>
          <w:p>
            <w:r>
              <w:rPr>
                <w:b/>
                <w:color w:val="B00020"/>
              </w:rPr>
            </w:r>
            <w:r>
              <w:rPr>
                <w:b/>
                <w:color w:val="B00020"/>
                <w:sz w:val="18"/>
              </w:rPr>
              <w:t>PASSIVO ATUALIZADO 30/06/2026</w:t>
            </w:r>
          </w:p>
        </w:tc>
        <w:tc>
          <w:tcPr>
            <w:tcW w:type="dxa" w:w="2635"/>
            <w:shd w:val="clear" w:color="auto" w:fill="FDECEF"/>
          </w:tcPr>
          <w:p>
            <w:r>
              <w:rPr>
                <w:b/>
                <w:color w:val="B00020"/>
              </w:rPr>
            </w:r>
            <w:r>
              <w:rPr>
                <w:b/>
                <w:color w:val="B00020"/>
                <w:sz w:val="18"/>
              </w:rPr>
              <w:t>R$ 850.535,24</w:t>
            </w:r>
          </w:p>
        </w:tc>
        <w:tc>
          <w:tcPr>
            <w:tcW w:type="dxa" w:w="2635"/>
            <w:shd w:val="clear" w:color="auto" w:fill="FDECEF"/>
          </w:tcPr>
          <w:p>
            <w:r>
              <w:rPr>
                <w:b/>
                <w:color w:val="B00020"/>
              </w:rPr>
            </w:r>
            <w:r>
              <w:rPr>
                <w:b/>
                <w:color w:val="B00020"/>
                <w:sz w:val="18"/>
              </w:rPr>
              <w:t>R$ 713.104,30</w:t>
            </w:r>
          </w:p>
        </w:tc>
        <w:tc>
          <w:tcPr>
            <w:tcW w:type="dxa" w:w="2635"/>
            <w:shd w:val="clear" w:color="auto" w:fill="FDECEF"/>
          </w:tcPr>
          <w:p>
            <w:r>
              <w:rPr>
                <w:b/>
                <w:color w:val="B00020"/>
              </w:rPr>
            </w:r>
            <w:r>
              <w:rPr>
                <w:b/>
                <w:color w:val="B00020"/>
                <w:sz w:val="18"/>
              </w:rPr>
              <w:t>− R$ 137.430,94</w:t>
            </w:r>
          </w:p>
        </w:tc>
      </w:tr>
    </w:tbl>
    <w:p>
      <w:r>
        <w:rPr>
          <w:b/>
          <w:color w:val="C89000"/>
          <w:sz w:val="20"/>
        </w:rPr>
        <w:t xml:space="preserve">RECOMENDAÇÃO TÉCNICA — </w:t>
      </w:r>
      <w:r>
        <w:rPr>
          <w:sz w:val="20"/>
        </w:rPr>
        <w:t>adotar o Cenário A no protocolo inicial (mais conservador), com indicação clara nos autos da existência dos 5 recebimentos via adv a serem classificados após oitiva das bancas Cantagallo e Fabio Corrêa Eleutério.</w:t>
      </w:r>
    </w:p>
    <w:p/>
    <w:p>
      <w:pPr>
        <w:pStyle w:val="Heading2"/>
      </w:pPr>
      <w:r>
        <w:rPr>
          <w:color w:val="1B3A5B"/>
        </w:rPr>
        <w:t>II — Recebimentos via advogados (a confirmar)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Histórico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04/04/2025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22.710,04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PIX REM: CANTAGALLO E C A ASSO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16/06/2025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7.100,78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PIX REM: CANTAGALLO E C A ASSO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26/06/2025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88.068,75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TED REM: CANTAGALLO E C A ASS (valor + TED → repasse judicial?)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16/10/2025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74.293,24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TED REM: FABIO CORREA ELEUTER</w:t>
            </w:r>
          </w:p>
        </w:tc>
      </w:tr>
      <w:tr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23/10/2025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46.982,97</w:t>
            </w:r>
          </w:p>
        </w:tc>
        <w:tc>
          <w:tcPr>
            <w:tcW w:type="dxa" w:w="2635"/>
            <w:shd w:val="clear" w:color="auto" w:fill="FFF8E1"/>
          </w:tcPr>
          <w:p>
            <w:r/>
            <w:r>
              <w:rPr>
                <w:sz w:val="18"/>
              </w:rPr>
              <w:t>TED REM: FABIO CORREA ELEUTER</w:t>
            </w:r>
          </w:p>
        </w:tc>
      </w:tr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635"/>
            <w:shd w:val="clear" w:color="auto" w:fill="1B3A5B"/>
          </w:tcPr>
          <w:p/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239.155,78</w:t>
            </w:r>
          </w:p>
        </w:tc>
        <w:tc>
          <w:tcPr>
            <w:tcW w:type="dxa" w:w="2635"/>
            <w:shd w:val="clear" w:color="auto" w:fill="1B3A5B"/>
          </w:tcPr>
          <w:p/>
        </w:tc>
      </w:tr>
    </w:tbl>
    <w:p/>
    <w:p>
      <w:pPr>
        <w:pStyle w:val="Heading2"/>
      </w:pPr>
      <w:r>
        <w:rPr>
          <w:color w:val="1B3A5B"/>
        </w:rPr>
        <w:t>III — Análise jurídica do enquadramento</w:t>
      </w:r>
    </w:p>
    <w:p>
      <w:r>
        <w:rPr>
          <w:b/>
          <w:color w:val="1B3A5B"/>
          <w:sz w:val="20"/>
        </w:rPr>
        <w:t xml:space="preserve">(a) DEVOLUÇÃO DE HONORÁRIOS/RETENÇÃO — </w:t>
      </w:r>
      <w:r>
        <w:rPr>
          <w:sz w:val="20"/>
        </w:rPr>
        <w:t>Banca anterior cessa patrocínio e devolve à cliente. NÃO seria pagamento de Ari · Cenário A se aplica.</w:t>
      </w:r>
    </w:p>
    <w:p>
      <w:r>
        <w:rPr>
          <w:b/>
          <w:color w:val="1B3A5B"/>
          <w:sz w:val="20"/>
        </w:rPr>
        <w:t xml:space="preserve">(b) REPASSE DE ALVARÁ JUDICIAL/RPV — </w:t>
      </w:r>
      <w:r>
        <w:rPr>
          <w:sz w:val="20"/>
        </w:rPr>
        <w:t>Banca recebe valores de bloqueio SISBAJUD, depósito judicial ou alvará em ação alimentar, repassa após honorários. SIM seria pagamento de Ari · Cenário B se aplica.</w:t>
      </w:r>
    </w:p>
    <w:p>
      <w:r>
        <w:rPr>
          <w:b/>
          <w:color w:val="1B3A5B"/>
          <w:sz w:val="20"/>
        </w:rPr>
        <w:t xml:space="preserve">(c) CUMPRIMENTOS PROVISÓRIOS — </w:t>
      </w:r>
      <w:r>
        <w:rPr>
          <w:sz w:val="20"/>
        </w:rPr>
        <w:t>Alvarás emitidos em cumprimentos provisórios de alimentos (Doc 71 itens 5-9) · Cenário B se aplica.</w:t>
      </w:r>
    </w:p>
    <w:p>
      <w:r>
        <w:rPr>
          <w:b/>
          <w:sz w:val="20"/>
        </w:rPr>
        <w:t xml:space="preserve">Elementos a favor das hipóteses (b)/(c): </w:t>
      </w:r>
      <w:r>
        <w:rPr>
          <w:sz w:val="20"/>
        </w:rPr>
        <w:t>montantes elevados (R$ 88k e R$ 74k em transferências únicas); uso de TED (perfil judicial); datas coincidem com janelas de execução; bancas com patrocínio alimentar nos autos.</w:t>
      </w:r>
    </w:p>
    <w:p/>
    <w:p>
      <w:pPr>
        <w:pStyle w:val="Heading2"/>
      </w:pPr>
      <w:r>
        <w:rPr>
          <w:color w:val="B00020"/>
        </w:rPr>
        <w:t>IV — Fator INSEGURANÇA (mantido em ambos os cenários)</w:t>
      </w:r>
    </w:p>
    <w:p>
      <w:r>
        <w:rPr>
          <w:b/>
          <w:color w:val="B00020"/>
          <w:sz w:val="20"/>
        </w:rPr>
        <w:t xml:space="preserve">FI-1 · IMPREVISIBILIDADE TOTAL — </w:t>
      </w:r>
      <w:r>
        <w:rPr>
          <w:sz w:val="20"/>
        </w:rPr>
        <w:t>Mesmo no Cenário B, apenas 3 datas de crédito em todo 2025 (04/04, 16-26/06, 16-23/10).</w:t>
      </w:r>
    </w:p>
    <w:p>
      <w:r>
        <w:rPr>
          <w:b/>
          <w:color w:val="B00020"/>
          <w:sz w:val="20"/>
        </w:rPr>
        <w:t xml:space="preserve">FI-2 · CONCENTRAÇÃO ARBITRÁRIA — </w:t>
      </w:r>
      <w:r>
        <w:rPr>
          <w:sz w:val="20"/>
        </w:rPr>
        <w:t>Sem cronograma. Lacunas de 4 meses (jun-out/2025) sem qualquer entrada no Cenário B.</w:t>
      </w:r>
    </w:p>
    <w:p>
      <w:r>
        <w:rPr>
          <w:b/>
          <w:color w:val="B00020"/>
          <w:sz w:val="20"/>
        </w:rPr>
        <w:t xml:space="preserve">FI-3 · DESPESAS FIXAS &gt; R$ 30 MIL/MÊS — </w:t>
      </w:r>
      <w:r>
        <w:rPr>
          <w:sz w:val="20"/>
        </w:rPr>
        <w:t>Escolas + saúde + utilities + condomínio · débitos automáticos não param.</w:t>
      </w:r>
    </w:p>
    <w:p>
      <w:r>
        <w:rPr>
          <w:b/>
          <w:color w:val="B00020"/>
          <w:sz w:val="20"/>
        </w:rPr>
        <w:t xml:space="preserve">FI-4 · DESCAPITALIZAÇÃO FORÇADA — </w:t>
      </w:r>
      <w:r>
        <w:rPr>
          <w:sz w:val="20"/>
        </w:rPr>
        <w:t>R$ 677.857,67 do Plano Vida e Previdência (dano distinto · ação cível autônoma).</w:t>
      </w:r>
    </w:p>
    <w:p>
      <w:r>
        <w:rPr>
          <w:b/>
          <w:color w:val="B00020"/>
          <w:sz w:val="20"/>
        </w:rPr>
        <w:t xml:space="preserve">FI-5 · VIOLÊNCIA PATRIMONIAL — </w:t>
      </w:r>
      <w:r>
        <w:rPr>
          <w:sz w:val="20"/>
        </w:rPr>
        <w:t>LMP art. 7º IV · Ari controla, Millena espera.</w:t>
      </w:r>
    </w:p>
    <w:p>
      <w:r>
        <w:rPr>
          <w:b/>
          <w:color w:val="B00020"/>
          <w:sz w:val="20"/>
        </w:rPr>
        <w:t xml:space="preserve">FI-6 · ARI CONHECE O VALOR EXATO — </w:t>
      </w:r>
      <w:r>
        <w:rPr>
          <w:sz w:val="20"/>
        </w:rPr>
        <w:t>R$ 24.300 da sentença · paga só quando quer.</w:t>
      </w:r>
    </w:p>
    <w:p>
      <w:r>
        <w:rPr>
          <w:b/>
          <w:color w:val="B00020"/>
          <w:sz w:val="20"/>
        </w:rPr>
        <w:t xml:space="preserve">FI-7 · MILLENA SÓ VÊ O $ SAINDO — </w:t>
      </w:r>
      <w:r>
        <w:rPr>
          <w:sz w:val="20"/>
        </w:rPr>
        <w:t>Débitos automáticos não param, créditos não vêm.</w:t>
      </w:r>
    </w:p>
    <w:p>
      <w:r>
        <w:rPr>
          <w:b/>
          <w:color w:val="B00020"/>
          <w:sz w:val="20"/>
        </w:rPr>
        <w:t xml:space="preserve">FI-8 · INTERMEDIAÇÃO VIA ADV NÃO REMOVE A INSEGURANÇA — </w:t>
      </w:r>
      <w:r>
        <w:rPr>
          <w:sz w:val="20"/>
        </w:rPr>
        <w:t>Mesmo se o Cenário B se confirmar, o que se vê é que Ari não pagou voluntariamente NEM UMA VEZ em 2025 — só houve crédito via força executória do Estado.</w:t>
      </w:r>
    </w:p>
    <w:p/>
    <w:p>
      <w:pPr>
        <w:pStyle w:val="Heading2"/>
      </w:pPr>
      <w:r>
        <w:rPr>
          <w:color w:val="1B3A5B"/>
        </w:rPr>
        <w:t>V — Capacidade financeira de Ari (sentença 11/04/2024)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Folhas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DIRPF 2021→2022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18"/>
              </w:rPr>
              <w:t>R$ 8,47 MM → R$ 32,23 MM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1380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Renda não tributável 2022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18"/>
              </w:rPr>
              <w:t>R$ 1.329.826,70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1380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Ganhos de capital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18"/>
              </w:rPr>
              <w:t>R$ 10.400.646,61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1380-1381</w:t>
            </w:r>
          </w:p>
        </w:tc>
      </w:tr>
      <w:tr>
        <w:tc>
          <w:tcPr>
            <w:tcW w:type="dxa" w:w="3513"/>
            <w:shd w:val="clear" w:color="auto" w:fill="FDECEF"/>
          </w:tcPr>
          <w:p>
            <w:r/>
            <w:r>
              <w:rPr>
                <w:sz w:val="18"/>
              </w:rPr>
              <w:t>SISBAJUD em conta de Ari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b/>
                <w:sz w:val="18"/>
              </w:rPr>
              <w:t>R$ 95.000.000,00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sz w:val="16"/>
              </w:rPr>
              <w:t>324-332 / 1381</w:t>
            </w:r>
          </w:p>
        </w:tc>
      </w:tr>
      <w:tr>
        <w:tc>
          <w:tcPr>
            <w:tcW w:type="dxa" w:w="3513"/>
            <w:shd w:val="clear" w:color="auto" w:fill="FDECEF"/>
          </w:tcPr>
          <w:p>
            <w:r/>
            <w:r>
              <w:rPr>
                <w:sz w:val="18"/>
              </w:rPr>
              <w:t>Carteira FRAM Capital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b/>
                <w:sz w:val="18"/>
              </w:rPr>
              <w:t>R$ 66.469.760,77</w:t>
            </w:r>
          </w:p>
        </w:tc>
        <w:tc>
          <w:tcPr>
            <w:tcW w:type="dxa" w:w="3513"/>
            <w:shd w:val="clear" w:color="auto" w:fill="FDECEF"/>
          </w:tcPr>
          <w:p>
            <w:r/>
            <w:r>
              <w:rPr>
                <w:sz w:val="16"/>
              </w:rPr>
              <w:t>1381</w:t>
            </w:r>
          </w:p>
        </w:tc>
      </w:tr>
    </w:tbl>
    <w:p/>
    <w:p>
      <w:pPr>
        <w:pStyle w:val="Heading2"/>
      </w:pPr>
      <w:r>
        <w:rPr>
          <w:color w:val="1B3A5B"/>
        </w:rPr>
        <w:t>VI — Conclusões e pedidos</w:t>
      </w:r>
    </w:p>
    <w:p>
      <w:r>
        <w:rPr>
          <w:b/>
          <w:color w:val="B00020"/>
          <w:sz w:val="20"/>
        </w:rPr>
        <w:t xml:space="preserve">C-1 · Cenário A (PIX direto) — </w:t>
      </w:r>
      <w:r>
        <w:rPr>
          <w:sz w:val="20"/>
        </w:rPr>
        <w:t>Débito R$ 770.780 · juros SELIC R$ 79.755 · PASSIVO R$ 850.535,24</w:t>
      </w:r>
    </w:p>
    <w:p>
      <w:r>
        <w:rPr>
          <w:b/>
          <w:color w:val="B00020"/>
          <w:sz w:val="20"/>
        </w:rPr>
        <w:t xml:space="preserve">C-2 · Cenário B (+ via adv) — </w:t>
      </w:r>
      <w:r>
        <w:rPr>
          <w:sz w:val="20"/>
        </w:rPr>
        <w:t>Débito R$ 647.490 · juros SELIC R$ 65.614 · PASSIVO R$ 713.104,30</w:t>
      </w:r>
    </w:p>
    <w:p>
      <w:r>
        <w:rPr>
          <w:b/>
          <w:color w:val="B00020"/>
          <w:sz w:val="20"/>
        </w:rPr>
        <w:t xml:space="preserve">C-3 · Δ R$ 137.430,94 — </w:t>
      </w:r>
      <w:r>
        <w:rPr>
          <w:sz w:val="20"/>
        </w:rPr>
        <w:t>Diferença depende da classificação dos 5 recebimentos via adv</w:t>
      </w:r>
    </w:p>
    <w:p>
      <w:r>
        <w:rPr>
          <w:b/>
          <w:color w:val="B00020"/>
          <w:sz w:val="20"/>
        </w:rPr>
        <w:t xml:space="preserve">C-4 · INADIMPLÊNCIA DELIBERADA em qualquer cenário — </w:t>
      </w:r>
      <w:r>
        <w:rPr>
          <w:sz w:val="20"/>
        </w:rPr>
        <w:t>Ari tem capacidade reconhecida de R$ 32 MM (IRPF) + R$ 95 MM (SISBAJUD) + R$ 66,5 MM (FRAM)</w:t>
      </w:r>
    </w:p>
    <w:p>
      <w:r>
        <w:rPr>
          <w:b/>
          <w:color w:val="B00020"/>
          <w:sz w:val="20"/>
        </w:rPr>
        <w:t xml:space="preserve">C-5 · Tipificações potenciais — </w:t>
      </w:r>
      <w:r>
        <w:rPr>
          <w:sz w:val="20"/>
        </w:rPr>
        <w:t>Violência patrimonial (LMP 7º IV) + prisão civil (CPC 528 §3º) + abandono material (CP 244)</w:t>
      </w:r>
    </w:p>
    <w:p/>
    <w:p>
      <w:r>
        <w:rPr>
          <w:b/>
          <w:color w:val="0A5F2E"/>
          <w:sz w:val="20"/>
        </w:rPr>
        <w:t xml:space="preserve">P-1 · Execução de alimentos (CPC 528) — </w:t>
      </w:r>
      <w:r>
        <w:rPr>
          <w:sz w:val="20"/>
        </w:rPr>
        <w:t>Multa, protesto, prisão civil, atualização SELIC</w:t>
      </w:r>
    </w:p>
    <w:p>
      <w:r>
        <w:rPr>
          <w:b/>
          <w:color w:val="0A5F2E"/>
          <w:sz w:val="20"/>
        </w:rPr>
        <w:t xml:space="preserve">P-2 · Cumprimento de sentença — </w:t>
      </w:r>
      <w:r>
        <w:rPr>
          <w:sz w:val="20"/>
        </w:rPr>
        <w:t>Levantamento do incontroverso + auditoria SISBAJUD</w:t>
      </w:r>
    </w:p>
    <w:p>
      <w:r>
        <w:rPr>
          <w:b/>
          <w:color w:val="0A5F2E"/>
          <w:sz w:val="20"/>
        </w:rPr>
        <w:t xml:space="preserve">P-3 · Medidas protetivas patrimoniais (LMP 24) — </w:t>
      </w:r>
      <w:r>
        <w:rPr>
          <w:sz w:val="20"/>
        </w:rPr>
        <w:t>VDFM Butantã (Lei 14.550/2023)</w:t>
      </w:r>
    </w:p>
    <w:p>
      <w:r>
        <w:rPr>
          <w:b/>
          <w:color w:val="0A5F2E"/>
          <w:sz w:val="20"/>
        </w:rPr>
        <w:t xml:space="preserve">P-4 · Notícia-crime (CP 244) — </w:t>
      </w:r>
      <w:r>
        <w:rPr>
          <w:sz w:val="20"/>
        </w:rPr>
        <w:t>Descumprimento contumaz</w:t>
      </w:r>
    </w:p>
    <w:p>
      <w:r>
        <w:rPr>
          <w:b/>
          <w:color w:val="0A5F2E"/>
          <w:sz w:val="20"/>
        </w:rPr>
        <w:t xml:space="preserve">P-5 · NOVO · Oficiar bancas anteriores — </w:t>
      </w:r>
      <w:r>
        <w:rPr>
          <w:sz w:val="20"/>
        </w:rPr>
        <w:t>Cantagallo + Fabio Corrêa Eleutério para certificação dos repasses</w:t>
      </w:r>
    </w:p>
    <w:p/>
    <w:p>
      <w:pPr>
        <w:pStyle w:val="Heading2"/>
      </w:pPr>
      <w:r>
        <w:rPr>
          <w:color w:val="C89000"/>
        </w:rPr>
        <w:t>VII — Checklist para Dr. Luiz + Dra. Michele</w:t>
      </w:r>
    </w:p>
    <w:p>
      <w:pPr>
        <w:pStyle w:val="ListBullet"/>
      </w:pPr>
      <w:r>
        <w:rPr>
          <w:sz w:val="20"/>
        </w:rPr>
        <w:t>DECISÃO ENTRE CENÁRIOS A E B — qual adotar para o protocolo?</w:t>
      </w:r>
    </w:p>
    <w:p>
      <w:pPr>
        <w:pStyle w:val="ListBullet"/>
      </w:pPr>
      <w:r>
        <w:rPr>
          <w:sz w:val="20"/>
        </w:rPr>
        <w:t>Oficiar Cantagallo &amp; Cantagal para certificação da natureza dos R$ 117.879,57 (04/04, 16/06, 26/06/2025)</w:t>
      </w:r>
    </w:p>
    <w:p>
      <w:pPr>
        <w:pStyle w:val="ListBullet"/>
      </w:pPr>
      <w:r>
        <w:rPr>
          <w:sz w:val="20"/>
        </w:rPr>
        <w:t>Oficiar Fabio Corrêa Eleutério para certificação dos R$ 121.276,21 (16/10 e 23/10/2025)</w:t>
      </w:r>
    </w:p>
    <w:p>
      <w:pPr>
        <w:pStyle w:val="ListBullet"/>
      </w:pPr>
      <w:r>
        <w:rPr>
          <w:sz w:val="20"/>
        </w:rPr>
        <w:t>Cruzar com certidões dos cumprimentos provisórios (Doc 71 itens 5-9)</w:t>
      </w:r>
    </w:p>
    <w:p>
      <w:pPr>
        <w:pStyle w:val="ListBullet"/>
      </w:pPr>
      <w:r>
        <w:rPr>
          <w:sz w:val="20"/>
        </w:rPr>
        <w:t>Validar SELIC (Lei 14.905/2024 · CC 406)</w:t>
      </w:r>
    </w:p>
    <w:p>
      <w:pPr>
        <w:pStyle w:val="ListBullet"/>
      </w:pPr>
      <w:r>
        <w:rPr>
          <w:sz w:val="20"/>
        </w:rPr>
        <w:t>Confirmar vencimento dia 1º do mês (sentença 11/04/2024 fls. 1382)</w:t>
      </w:r>
    </w:p>
    <w:p>
      <w:pPr>
        <w:pStyle w:val="ListBullet"/>
      </w:pPr>
      <w:r>
        <w:rPr>
          <w:sz w:val="20"/>
        </w:rPr>
        <w:t>Confirmar quantum de Millena (5 SM + R$ 18.400)</w:t>
      </w:r>
    </w:p>
    <w:p>
      <w:pPr>
        <w:pStyle w:val="ListBullet"/>
      </w:pPr>
      <w:r>
        <w:rPr>
          <w:sz w:val="20"/>
        </w:rPr>
        <w:t>Inclusão de honorários (10% × anuidade ≈ R$ 29.160)</w:t>
      </w:r>
    </w:p>
    <w:p>
      <w:pPr>
        <w:pStyle w:val="ListBullet"/>
      </w:pPr>
      <w:r>
        <w:rPr>
          <w:sz w:val="20"/>
        </w:rPr>
        <w:t>Inclusão de multa CPC 528 §1º</w:t>
      </w:r>
    </w:p>
    <w:p>
      <w:pPr>
        <w:pStyle w:val="ListBullet"/>
      </w:pPr>
      <w:r>
        <w:rPr>
          <w:sz w:val="20"/>
        </w:rPr>
        <w:t>Danos morais por violência patrimonial (LMP 7º IV) em pedido autônomo</w:t>
      </w:r>
    </w:p>
    <w:p>
      <w:pPr>
        <w:pStyle w:val="ListBullet"/>
      </w:pPr>
      <w:r>
        <w:rPr>
          <w:sz w:val="20"/>
        </w:rPr>
        <w:t>Ressarcimento do resgate de Vida e Previdência (R$ 677.857,67) em ação cível autônoma</w:t>
      </w:r>
    </w:p>
    <w:p>
      <w:pPr>
        <w:pStyle w:val="ListBullet"/>
      </w:pPr>
      <w:r>
        <w:rPr>
          <w:sz w:val="20"/>
        </w:rPr>
        <w:t>Foro de execução: 1ª VFS Pinheiros (divórcio) ou 2ª VFS Pinheiros (alimentos)</w:t>
      </w:r>
    </w:p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Revisão do Doc 79 incorporando análise dos 5 recebimentos via advogados (Cantagallo + Fabio Corrêa Eleutério · R$ 239.155,78) identificados na extração forense do Doc 72. A natureza desses recebimentos (devolução de honorários × repasse judicial) NÃO é certificável apenas pelos dados bancários — exige diligência junto às bancas anteriores ou aos cumprimentos provisórios. Apresentados 2 cenários para decisão da banca atual antes do protocolo. Demais premissas idênticas ao Doc 79: filhos R$ 24.300/mês (sentença 11/04/2024 · fls. 1382); Millena 5 SM + R$ 18.400; vencimento dia 1º; SELIC 0,93% a.m. (Lei 14.905/2024 · CC 406 sem cumulação de IPCA). NÃO inclui rendimento sobre resgate de Vida e Previdência, honorários (≈ R$ 29.160), multa CPC 528 §1º. Instrumento técnico (CPC 472), não substitui laudo CRC. Patronos: Dra. Michele P. Hilgenberg (OAB/SC 41.607) + Dr. Luiz Carlos Guieseler Junior (OAB/PR 44.937) · procuração matriz 03/06/2026 · fls. 1065 da guarda · CPC art. 112. Sucede o Doc 79.</w:t>
      </w:r>
    </w:p>
    <w:sectPr w:rsidR="00FC693F" w:rsidRPr="0006063C" w:rsidSect="00034616">
      <w:pgSz w:w="12240" w:h="15840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