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65 — RIF · Inteligência Financeira + Análise de Grafo · Ari Gorenstein</w:t>
      </w:r>
    </w:p>
    <w:p>
      <w:pPr>
        <w:jc w:val="center"/>
      </w:pPr>
      <w:r>
        <w:rPr>
          <w:i/>
          <w:sz w:val="18"/>
        </w:rPr>
        <w:t>5 camadas · 24 nós · 10 tipologias COAF/FATF · 10 indicadores de risco · ecossistema R$ 4,1 bi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