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0"/>
        </w:rPr>
        <w:t>CONFIDENCIAL · MINUTA · REVISÃO E PROTOCOLO PELO ADVOGADO HABILITADO</w:t>
      </w:r>
    </w:p>
    <w:p>
      <w:pPr>
        <w:jc w:val="center"/>
      </w:pPr>
      <w:r>
        <w:rPr>
          <w:rFonts w:ascii="Times New Roman" w:hAnsi="Times New Roman"/>
          <w:b/>
          <w:sz w:val="26"/>
        </w:rPr>
        <w:t>DOCUMENTO 36 — MINUTA DE PETIÇÃO</w:t>
      </w:r>
    </w:p>
    <w:p>
      <w:pPr>
        <w:jc w:val="center"/>
      </w:pPr>
      <w:r>
        <w:rPr>
          <w:rFonts w:ascii="Times New Roman" w:hAnsi="Times New Roman"/>
          <w:b/>
          <w:sz w:val="22"/>
        </w:rPr>
        <w:t>Roteiro Neurolinguístico-Retórico Aplicado · Integração Docs 11-35</w:t>
      </w:r>
    </w:p>
    <w:p>
      <w:pPr>
        <w:jc w:val="center"/>
      </w:pPr>
      <w:r>
        <w:rPr>
          <w:rFonts w:ascii="Times New Roman" w:hAnsi="Times New Roman"/>
          <w:b/>
          <w:sz w:val="22"/>
        </w:rPr>
        <w:br/>
        <w:t>EXCELENTÍSSIMO SENHOR DOUTOR JUIZ DE DIREITO DA 1ª VARA DA FAMÍLIA E SUCESSÕES DO FORO REGIONAL DE PINHEIROS — COMARCA DA CAPITAL/SP</w:t>
        <w:br/>
      </w:r>
    </w:p>
    <w:p>
      <w:pPr>
        <w:jc w:val="both"/>
      </w:pPr>
      <w:r>
        <w:rPr>
          <w:rFonts w:ascii="Times New Roman" w:hAnsi="Times New Roman"/>
          <w:b/>
          <w:sz w:val="22"/>
        </w:rPr>
        <w:t>Processo nº 1006744-58.2023.8.26.0011</w:t>
      </w:r>
    </w:p>
    <w:p>
      <w:pPr>
        <w:jc w:val="both"/>
      </w:pPr>
      <w:r>
        <w:rPr>
          <w:rFonts w:ascii="Times New Roman" w:hAnsi="Times New Roman"/>
          <w:sz w:val="22"/>
        </w:rPr>
        <w:t>Conexos: 1006738-51.2023.8.26.0011 · 0005199-67.2023.8.26.0011 · 1012537-07.2025.8.26.0011 (revisional alimentos) · 1166808-32.2024.8.26.0100 (guarda) · 1050640-10.2025.8.26.0100 (avoenga) · 1517557-18.2023.8.26.0228 (MPU/LMP) · 1500343-58.2025.8.26.0223 (IP) · 1501804-14.2024.8.26.0704 (IP lesão) · AI 2157767-67.2023.8.26.0000 (trânsito em julgado 10/10/2023)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MILLENA ONESTI GORENSTEIN, já qualificada nos autos em epígrafe, por suas advogadas que esta subscrevem, vem, respeitosamente, à presença de Vossa Excelência, com fundamento nos arts. 4º, 6º, 77 II e VI, 80, 81, 139 IV, 297, 311 IV, 356, 400, 497, 502/505, 537, 774 e 854 do CPC, nos arts. 187, 422, 884, 942, 1.658-1.660, 1.992 do CC, na Lei 11.340/2006 (com a redação da Lei 14.550/2023), na Res. CNJ 492/2023 e nos princípios constitucionais do devido processo legal substancial, contraditório material e duração razoável, apresentar a presente: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PETIÇÃO INTEGRADA</w:t>
      </w:r>
    </w:p>
    <w:p>
      <w:pPr>
        <w:jc w:val="both"/>
      </w:pPr>
      <w:r>
        <w:rPr>
          <w:rFonts w:ascii="Times New Roman" w:hAnsi="Times New Roman"/>
          <w:sz w:val="22"/>
        </w:rPr>
        <w:t>(Coisa Julgada · Litigância de Má-Fé · Perícia Contábil-Societária · Cláusula 9.7 · Decretação Imediata do Divórcio · Manutenção dos Alimentos · Tutelas de Urgência e Evidência)</w:t>
      </w:r>
    </w:p>
    <w:p>
      <w:pPr>
        <w:jc w:val="both"/>
      </w:pPr>
      <w:r>
        <w:rPr>
          <w:rFonts w:ascii="Times New Roman" w:hAnsi="Times New Roman"/>
          <w:b/>
          <w:sz w:val="22"/>
        </w:rPr>
        <w:t>com pedido de JULGAMENTO ANTECIPADO PARCIAL (CPC 356) e TUTELA DE EVIDÊNCIA (CPC 311, IV), pelas razões a seguir:</w:t>
      </w:r>
    </w:p>
    <w:p>
      <w:r>
        <w:rPr>
          <w:rFonts w:ascii="Times New Roman" w:hAnsi="Times New Roman"/>
          <w:b/>
          <w:sz w:val="24"/>
        </w:rPr>
        <w:t>I — DA INTRODUÇÃO: O CHAMADO INADIÁVEL À TRANSPARÊNCIA E À EFETIVIDADE DA JUSTIÇA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Excelência, a presente manifestação não é apenas um ato processual; é um CLAMOR POR CLAREZA, TRANSPARÊNCIA E EFETIVIDADE, elementos essenciais para que a Justiça, em sua plenitude, possa se manifestar sobre um litígio que se arrasta por manobras que desvirtuam a verdade e a boa-fé processual.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Diante dos recentes desenvolvimentos e da profunda análise dos atos pretéritos, revela-se, com inegável nitidez, a ARQUITETURA COMPLEXA DE EVASÃO E PROTELAÇÃO que tem sido erguida pela parte adversa. É o momento de desvelar a realidade factual e jurídica.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consolidação técnica dos achados revela patrimônio comum bloqueado entre R$ 1,06 e R$ 1,92 BILHÃO, com meação Millena no cenário central de R$ 717-765 milhões e, sob Análise M&amp;A v6 com Discount Stack PE, R$ 239-475 milhões líquidos (mediana R$ 320 milhões).</w:t>
      </w:r>
    </w:p>
    <w:p>
      <w:r>
        <w:rPr>
          <w:rFonts w:ascii="Times New Roman" w:hAnsi="Times New Roman"/>
          <w:b/>
          <w:sz w:val="24"/>
        </w:rPr>
        <w:t>II — DA COISA JULGADA E DA INCONTESTÁVEL PERMANÊNCIA DO BLOQUEIO</w:t>
      </w:r>
    </w:p>
    <w:p>
      <w:r>
        <w:rPr>
          <w:rFonts w:ascii="Times New Roman" w:hAnsi="Times New Roman"/>
          <w:b/>
          <w:sz w:val="22"/>
        </w:rPr>
        <w:t>II.1. A dualidade inegável da decisão: bloqueio mantido vs. transferência vedada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defesa do Requerido, com uma DISTORÇÃO SEMÂNTICA E PROCESSUAL INACEITÁVEL, tenta reescrever a história de um acórdão que, na verdade, é ALICERCE INABALÁVEL para a Justiça.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r. decisão de origem impôs DOIS comandos: (i) o BLOQUEIO/INDISPONIBILIDADE (CPC 854) e (ii) a TRANSFERÊNCIA para conta judicial. O AI 2157767-67.2023, transitado em julgado em 10/10/2023, deu provimento parcial APENAS quanto ao comando de transferência, e SOMENTE em relação ao ativo custodiado na FRAM/OSLO Capital DTVM. Contudo, o COMANDO DE BLOQUEIO FOI EXPRESSAMENTE MANTIDO.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O próprio Tribunal, com ELOQUÊNCIA INEQUÍVOCA, rejeitou a leitura que o Requerido tenta extrair: a alternativa ao depósito judicial NÃO É A LIBERAÇÃO AO REQUERIDO, mas sim a PERMANÊNCIA DO BLOQUEIO ONDE O ATIVO ESTÁ.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constrição NÃO FOI LEVANTADA. Apenas mudou-se o local da custódia. O período de constrição ultrapassa, com larga margem, os 90 dias da Cláusula 9.7 do Acordo de Cotistas do FIP Ajaccio.</w:t>
      </w:r>
    </w:p>
    <w:p>
      <w:r>
        <w:rPr>
          <w:rFonts w:ascii="Times New Roman" w:hAnsi="Times New Roman"/>
          <w:b/>
          <w:sz w:val="22"/>
        </w:rPr>
        <w:t>II.2. A manobra documental como confissão de má-fé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perícia minuciosa dos metadados do eSAJ (Documento 31 da série) revela: em 26/10/2023, o Requerido protocolou petição (fls. 1061/1063) pedindo o desbloqueio total. NO DIA SEGUINTE, 27/10/2023, juntou o próprio acórdão (fls. 1064/1079), cujo dispositivo textualiza "BLOQUEIO MANTIDO". Esta INVERSÃO CRONOLÓGICA criou APARÊNCIA FALACIOSA de autorização de desbloqueio.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Este ato, comprovado por protocolos WPIN e códigos eSAJ catalogados, é CLARO INDICATIVO DE MÁ-FÉ PROCESSUAL. Aplicação dos arts. 80 II e III e 81 CPC (REsp 2.223.719/SP) + atos atentatórios CPC 774.</w:t>
      </w:r>
    </w:p>
    <w:p>
      <w:r>
        <w:rPr>
          <w:rFonts w:ascii="Times New Roman" w:hAnsi="Times New Roman"/>
          <w:b/>
          <w:sz w:val="24"/>
        </w:rPr>
        <w:t>III — DA INDISPENSÁVEL PERÍCIA CONTÁBIL-SOCIETÁRIA E ECONÔMICO-FINANCEIRA</w:t>
      </w:r>
    </w:p>
    <w:p>
      <w:r>
        <w:rPr>
          <w:rFonts w:ascii="Times New Roman" w:hAnsi="Times New Roman"/>
          <w:b/>
          <w:sz w:val="22"/>
        </w:rPr>
        <w:t>III.1. A complexa teia da reorganização societária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Não se trata de protelar, mas de DESVENDAR A REALIDADE. A reorganização societária envolvendo E-Vino, FIP Ajaccio, RT 127, Agro Syrah, Bonifácio FIP e satélites apresenta movimentações INTRINCADAS E CRONOMETRICAMENTE COINCIDENTES com o curso processual.</w:t>
      </w:r>
    </w:p>
    <w:p>
      <w:pPr>
        <w:ind w:firstLine="1134"/>
        <w:jc w:val="both"/>
      </w:pPr>
      <w:r>
        <w:rPr>
          <w:rFonts w:ascii="Times New Roman" w:hAnsi="Times New Roman"/>
          <w:b/>
          <w:sz w:val="22"/>
        </w:rPr>
        <w:t>ANOMALIA CRONOLÓGICA DIRIMENTE: O FIP Ajaccio sob CNPJ 33.701.444/0001-03 foi CANCELADO pela CVM em 29/12/2021 — DOIS DIAS antes da cisão da E-Vino em 31/12/2021. Cronologicamente IMPOSSÍVEL que fundo extinto receba cotas de cisão posterior. Configura, em tese, simulação relativa por reutilização indevida de denominação (CC 167-169).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Ari assina o regulamento e o acordo do FIP Ajaccio COMO INTERVENIENTE, não como cotista, sem boletim de integralização — inverte a tese de "partilha limitada a 2,22%".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Requer-se EXIBIÇÃO IMEDIATA, sob CPC 400: (1) Acordo de Cotistas integral FIP Ajaccio + FRAM XIV; (2) Boletim de integralização cotas em nome de Ari; (3) Cap tables E-Vino + Agro Syrah com ações remanescentes (LSA 174 §3º); (4) Termo de Mútuo Conversível Volimo→E-Vino 07/07/2021 + comprovação da conversão em 02/01/2023; (5) Laudo UHY E-Vino R$ 1,25 bi (30/03/2022); (6) Atas integrais Bonifácio FIP (CNPJ 59.402.540/0001-44) constituído 11/02/2025 durante o processo; (7) Instrumentos cisão E-Vino → RT 127 (CNPJ 44.548.365/0001-20 · NIRE 35238272663) + distrato 05/09/2023; (8) Cap table FIP Ajaccio II + regulamento Subclasse J (criada 23/04/2025); (9) Histórico Custodiantes CVM esclarecendo Itaú (CNPJ 60.701.190/0001-04 — custodiante) vs FRAM/OSLO DTVM (administradora); (10) Carteira completa OSLO Capital DTVM esclarecendo relação institucional com FRAM Vertem, Lindstrom, Marapé II e XIV.</w:t>
      </w:r>
    </w:p>
    <w:p>
      <w:r>
        <w:rPr>
          <w:rFonts w:ascii="Times New Roman" w:hAnsi="Times New Roman"/>
          <w:b/>
          <w:sz w:val="22"/>
        </w:rPr>
        <w:t>III.2. A Cláusula 9.7 (Constrição Involuntária) como gatilho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Cláusula 9.7 CLARA E COGENTE: cotista penhorado deve substituir garantia em 90 dias. O Requerido inadimpliu há mais de 1.000 DIAS.</w:t>
      </w:r>
    </w:p>
    <w:p>
      <w:pPr>
        <w:ind w:firstLine="1134"/>
        <w:jc w:val="both"/>
      </w:pPr>
      <w:r>
        <w:rPr>
          <w:rFonts w:ascii="Times New Roman" w:hAnsi="Times New Roman"/>
          <w:b/>
          <w:sz w:val="22"/>
        </w:rPr>
        <w:t>A "oferta" de R$ 4,42 MILHÕES (fls. 1573) vs PL R$ 1,57 BILHÃO (CVM 11/2024) vs SISBAJUD R$ 42,42 MM é PROPOSTA IRRISÓRIA E DESPROPORCIONAL — MANOBRA QUE VISA LUDIBRIAR O JUÍZO.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Defesa apresenta Sub-classe C 0,82% como "lastro" (R$ 11,55 MM). REALIDADE: Classe F com 4 de 5 cadeiras no Comitê de Investimentos. Fator de deflacionamento DEFESA: 122×.</w:t>
      </w:r>
    </w:p>
    <w:p>
      <w:r>
        <w:rPr>
          <w:rFonts w:ascii="Times New Roman" w:hAnsi="Times New Roman"/>
          <w:b/>
          <w:sz w:val="24"/>
        </w:rPr>
        <w:t>IV — DA URGÊNCIA NA DECRETAÇÃO DO DIVÓRCIO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O divórcio é DIREITO PERSONALÍSSIMO E POTESTATIVO. A CONCORDÂNCIA MÚTUA torna INADMISSÍVEL qualquer óbice. A insistência em postergar sob "irreversibilidade" CONTRARIA A JURISPRUDÊNCIA CONSOLIDADA do STF (EC 66/2010) e TJSP, que reconhecem o DIVÓRCIO LIMINAR desvinculado do patrimonial.</w:t>
      </w:r>
    </w:p>
    <w:p>
      <w:r>
        <w:rPr>
          <w:rFonts w:ascii="Times New Roman" w:hAnsi="Times New Roman"/>
          <w:b/>
          <w:sz w:val="24"/>
        </w:rPr>
        <w:t>V — DA MANUTENÇÃO DOS ALIMENTOS</w:t>
      </w:r>
    </w:p>
    <w:p>
      <w:r>
        <w:rPr>
          <w:rFonts w:ascii="Times New Roman" w:hAnsi="Times New Roman"/>
          <w:b/>
          <w:sz w:val="22"/>
        </w:rPr>
        <w:t>V.1. A realidade financeira do Requerido</w:t>
      </w:r>
    </w:p>
    <w:p>
      <w:pPr>
        <w:ind w:firstLine="1134"/>
        <w:jc w:val="both"/>
      </w:pPr>
      <w:r>
        <w:rPr>
          <w:rFonts w:ascii="Times New Roman" w:hAnsi="Times New Roman"/>
          <w:b/>
          <w:sz w:val="22"/>
        </w:rPr>
        <w:t>É CONTRADITÓRIA a postura do Requerido. Recebe R$ 70.000/mês por cláusula non-compete (fls. 1333/1334) que CONVENIENTEMENTE OMITIU. Pagamento singular R$ 749.183,38 em 29/01/2025 = salário oculto R$ 62.432/mês × 12 = 46,4× pró-labore declarado R$ 1.345,32/mês.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22 transferências mensais E-Vino → Apoio Admin (CNPJ 17.867.118/0001-14) 04/2023-11/2024 (R$ 30-127k/mês). Em 30/01/2025: 3 TEDs encadeados R$ 200k + R$ 400k + R$ 80k = R$ 680k → BTG Ag 0208/Cta 393729-6.</w:t>
      </w:r>
    </w:p>
    <w:p>
      <w:r>
        <w:rPr>
          <w:rFonts w:ascii="Times New Roman" w:hAnsi="Times New Roman"/>
          <w:b/>
          <w:sz w:val="22"/>
        </w:rPr>
        <w:t>V.2. A necessidade da Requerente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Requerente depende da PROTEÇÃO JUDICIAL em contexto de LITIGIOSIDADE ESTRESSORA (atestado psiquiátrico fls. 2879 + PCD F33+F90). A "autossuficiência" é PREMATURA E IRREAL. Alimentos como GARANTE DE DIGNIDADE até a partilha efetiva e transparente.</w:t>
      </w:r>
    </w:p>
    <w:p>
      <w:r>
        <w:rPr>
          <w:rFonts w:ascii="Times New Roman" w:hAnsi="Times New Roman"/>
          <w:b/>
          <w:sz w:val="24"/>
        </w:rPr>
        <w:t>VI — DOS PEDIDOS (sequência persuasiva e escalada)</w:t>
      </w:r>
    </w:p>
    <w:p>
      <w:pPr>
        <w:jc w:val="both"/>
      </w:pPr>
      <w:r>
        <w:rPr>
          <w:rFonts w:ascii="Times New Roman" w:hAnsi="Times New Roman"/>
          <w:b/>
          <w:sz w:val="22"/>
        </w:rPr>
        <w:t>1º — DA COISA JULGADA: Seja DECLARADA A COISA JULGADA MATERIAL sobre o BLOQUEIO DEFINITIVO E IMUTÁVEL de metade das cotas FRAM/OSLO (R$ 42.428.357,32), nos termos do AI 2157767-67.2023, REJEITANDO COM VEEMÊNCIA qualquer pretensão de desbloqueio (CPC 502/505).</w:t>
      </w:r>
    </w:p>
    <w:p>
      <w:pPr>
        <w:jc w:val="both"/>
      </w:pPr>
      <w:r>
        <w:rPr>
          <w:rFonts w:ascii="Times New Roman" w:hAnsi="Times New Roman"/>
          <w:b/>
          <w:sz w:val="22"/>
        </w:rPr>
        <w:t>2º — DA LIBERAÇÃO LÍQUIDA: Seja DETERMINADA A IMEDIATA LIBERAÇÃO da meação R$ 5.251.582,01 já depositada (fls. 492/499), via julgamento antecipado parcial (CPC 356) ou tutela de evidência (CPC 311 IV).</w:t>
      </w:r>
    </w:p>
    <w:p>
      <w:pPr>
        <w:jc w:val="both"/>
      </w:pPr>
      <w:r>
        <w:rPr>
          <w:rFonts w:ascii="Times New Roman" w:hAnsi="Times New Roman"/>
          <w:b/>
          <w:sz w:val="22"/>
        </w:rPr>
        <w:t>3º — DA MÁ-FÉ: APLICADA MULTA POR LITIGÂNCIA DE MÁ-FÉ pela DELIBERADA MANOBRA DOCUMENTAL (fls. 1061/1079) — arts. 80 II e III, 81 CPC + REsp 2.223.719/SP + atos atentatórios CPC 774 (até 20% débito).</w:t>
      </w:r>
    </w:p>
    <w:p>
      <w:pPr>
        <w:jc w:val="both"/>
      </w:pPr>
      <w:r>
        <w:rPr>
          <w:rFonts w:ascii="Times New Roman" w:hAnsi="Times New Roman"/>
          <w:b/>
          <w:sz w:val="22"/>
        </w:rPr>
        <w:t>4º — DO DIVÓRCIO: DECRETADO IMEDIATAMENTE O DIVÓRCIO com mandado de averbação ao Cartório (EC 66/2010 + jurisprudência STF/TJSP).</w:t>
      </w:r>
    </w:p>
    <w:p>
      <w:pPr>
        <w:jc w:val="both"/>
      </w:pPr>
      <w:r>
        <w:rPr>
          <w:rFonts w:ascii="Times New Roman" w:hAnsi="Times New Roman"/>
          <w:b/>
          <w:sz w:val="22"/>
        </w:rPr>
        <w:t>5º — DA PERÍCIA: DEFERIDA PERÍCIA CONTÁBIL-SOCIETÁRIA E ECONÔMICO-FINANCEIRA INTEGRAL para reconstrução de E-Vino + FIP Ajaccio + Agro Syrah + RT 127 + Bonifácio + Volimo + Avila + FRAM XIV (extratos Itaú custodiante CNPJ 60.701.190/0001-04 + Acordo de Cotistas), sob CPC 400. 10 quesitos formulados conforme item III.1.</w:t>
      </w:r>
    </w:p>
    <w:p>
      <w:pPr>
        <w:jc w:val="both"/>
      </w:pPr>
      <w:r>
        <w:rPr>
          <w:rFonts w:ascii="Times New Roman" w:hAnsi="Times New Roman"/>
          <w:b/>
          <w:sz w:val="22"/>
        </w:rPr>
        <w:t>6º — DA CLÁUSULA 9.7: CUMPRIMENTO IMEDIATO da Cláusula 9.7 do Acordo Ajaccio — substituição de garantia ou oferta de transferência — RECHAÇANDO a oferta vil R$ 4,42 MM vs PL R$ 1,57 BI.</w:t>
      </w:r>
    </w:p>
    <w:p>
      <w:pPr>
        <w:jc w:val="both"/>
      </w:pPr>
      <w:r>
        <w:rPr>
          <w:rFonts w:ascii="Times New Roman" w:hAnsi="Times New Roman"/>
          <w:b/>
          <w:sz w:val="22"/>
        </w:rPr>
        <w:t>7º — DOS ALIMENTOS: MANTIDOS INTEGRALMENTE alimentos provisórios e ressarcitórios em favor da Requerente (capacidade Requerido + necessidade Requerente fls. 2879).</w:t>
      </w:r>
    </w:p>
    <w:p>
      <w:pPr>
        <w:jc w:val="both"/>
      </w:pPr>
      <w:r>
        <w:rPr>
          <w:rFonts w:ascii="Times New Roman" w:hAnsi="Times New Roman"/>
          <w:b/>
          <w:sz w:val="22"/>
        </w:rPr>
        <w:t>8º — DO OFÍCIO ITAÚ: NOVO E URGENTE OFÍCIO ao Banco Itaú para desbloqueio de TODOS os ativos (não apenas parte), sob multa diária.</w:t>
      </w:r>
    </w:p>
    <w:p>
      <w:pPr>
        <w:jc w:val="both"/>
      </w:pPr>
      <w:r>
        <w:rPr>
          <w:rFonts w:ascii="Times New Roman" w:hAnsi="Times New Roman"/>
          <w:b/>
          <w:sz w:val="22"/>
        </w:rPr>
        <w:t>9º — REJEIÇÃO: REJEITADOS TODOS OS DEMAIS PEDIDOS do Requerido (manobras protelatórias / matéria preclusa) — preclusão CPC 507, boa-fé CPC 5º, duração razoável CF 5º LXXVIII.</w:t>
      </w:r>
    </w:p>
    <w:p>
      <w:pPr>
        <w:jc w:val="both"/>
      </w:pPr>
      <w:r>
        <w:rPr>
          <w:rFonts w:ascii="Times New Roman" w:hAnsi="Times New Roman"/>
          <w:b/>
          <w:sz w:val="22"/>
        </w:rPr>
        <w:t>10º — TUTELAS COMPLEMENTARES (CPC 297, 497, 537 + 139 IV):</w:t>
      </w:r>
    </w:p>
    <w:p>
      <w:pPr>
        <w:jc w:val="both"/>
      </w:pPr>
      <w:r>
        <w:rPr>
          <w:rFonts w:ascii="Times New Roman" w:hAnsi="Times New Roman"/>
          <w:sz w:val="22"/>
        </w:rPr>
        <w:t xml:space="preserve">   (a) Tutela inibitória: proibição de novas reorganizações no Grupo (E-Vino + Grand Cru + Víssimo + Interbeverages + Agro Syrah + FIP Ajaccio + Avila + Volimo + Bonifácio + RT 127 + Vila Porto) sem comunicação ao Juízo.</w:t>
      </w:r>
    </w:p>
    <w:p>
      <w:pPr>
        <w:jc w:val="both"/>
      </w:pPr>
      <w:r>
        <w:rPr>
          <w:rFonts w:ascii="Times New Roman" w:hAnsi="Times New Roman"/>
          <w:sz w:val="22"/>
        </w:rPr>
        <w:t xml:space="preserve">   (b) Astreinte R$ 100.000/dia (elevação a R$ 200.000/dia após 30 dias).</w:t>
      </w:r>
    </w:p>
    <w:p>
      <w:pPr>
        <w:jc w:val="both"/>
      </w:pPr>
      <w:r>
        <w:rPr>
          <w:rFonts w:ascii="Times New Roman" w:hAnsi="Times New Roman"/>
          <w:sz w:val="22"/>
        </w:rPr>
        <w:t xml:space="preserve">   (c) Bloqueio universal CCS-BACEN + SISBAJUD + RENAJUD + INFOJUD + CETIP/B3 + CVM em valor compatível com meação R$ 239-475 MM (central R$ 320 MM).</w:t>
      </w:r>
    </w:p>
    <w:p>
      <w:pPr>
        <w:jc w:val="both"/>
      </w:pPr>
      <w:r>
        <w:rPr>
          <w:rFonts w:ascii="Times New Roman" w:hAnsi="Times New Roman"/>
          <w:sz w:val="22"/>
        </w:rPr>
        <w:t xml:space="preserve">   (d) Suspensão postulatória de profissionais com custeio E-Vino (EAOAB 18 + Provimento CFOAB 188) + oficiamento OAB-SP.</w:t>
      </w:r>
    </w:p>
    <w:p>
      <w:r>
        <w:rPr>
          <w:rFonts w:ascii="Times New Roman" w:hAnsi="Times New Roman"/>
          <w:b/>
          <w:sz w:val="24"/>
        </w:rPr>
        <w:t>VII — CONSIDERAÇÕES FINAIS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causa não pode ser obscurecida por táticas que desvirtuam a verdade. A Requerente, amparada pela INDUBITÁVEL NECESSIDADE DE CLAREZA, confia que este Juízo fará prevalecer os princípios da justiça, equidade e boa-fé.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A meeira não pede favor: pede a APLICAÇÃO DA LEI. Pede que cada dia adicional de bloqueio não-executado deixe de ser dia adicional de fruição exclusiva e silenciosa. Pede que a transparência substantiva — exibição compulsória + perícia integral + quebra de sigilos — substitua o silêncio estratégico que se converteu, ao longo de 1.000+ dias, em arma processual.</w:t>
      </w:r>
    </w:p>
    <w:p>
      <w:pPr>
        <w:ind w:firstLine="1134"/>
        <w:jc w:val="both"/>
      </w:pPr>
      <w:r>
        <w:rPr>
          <w:rFonts w:ascii="Times New Roman" w:hAnsi="Times New Roman"/>
          <w:b/>
          <w:sz w:val="22"/>
        </w:rPr>
        <w:t>A janela tática para intervenção judicial efetiva está aberta — mas fecha-se com a passagem de cada dia. A FORÇA DA LEI, neste momento, pode restaurar o que a lei da força fragmentou.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Termos em que pede deferimento.</w:t>
      </w:r>
    </w:p>
    <w:p>
      <w:pPr>
        <w:jc w:val="center"/>
      </w:pPr>
      <w:r>
        <w:rPr>
          <w:rFonts w:ascii="Times New Roman" w:hAnsi="Times New Roman"/>
          <w:sz w:val="22"/>
        </w:rPr>
        <w:br/>
        <w:t>São Paulo, em ___ de _________________ de 2026.</w:t>
        <w:br/>
      </w:r>
    </w:p>
    <w:p>
      <w:pPr>
        <w:jc w:val="center"/>
      </w:pPr>
      <w:r>
        <w:rPr>
          <w:rFonts w:ascii="Times New Roman" w:hAnsi="Times New Roman"/>
          <w:sz w:val="22"/>
        </w:rPr>
        <w:br/>
        <w:t>__________________________________________</w:t>
        <w:br/>
        <w:t>Dra. Júlia Melim Borges Eleutério</w:t>
        <w:br/>
        <w:t>OAB/SC nº 22.013 · OAB/PR nº 98.941</w:t>
      </w:r>
    </w:p>
    <w:p>
      <w:pPr>
        <w:jc w:val="center"/>
      </w:pPr>
      <w:r>
        <w:rPr>
          <w:rFonts w:ascii="Times New Roman" w:hAnsi="Times New Roman"/>
          <w:sz w:val="22"/>
        </w:rPr>
        <w:br/>
        <w:t>__________________________________________</w:t>
        <w:br/>
        <w:t>Dra. Michele Hilgenberg</w:t>
        <w:br/>
        <w:t>OAB/SC nº 41.607</w:t>
      </w:r>
    </w:p>
    <w:p>
      <w:pPr>
        <w:jc w:val="center"/>
      </w:pPr>
      <w:r>
        <w:rPr>
          <w:rFonts w:ascii="Times New Roman" w:hAnsi="Times New Roman"/>
          <w:sz w:val="22"/>
        </w:rPr>
        <w:br/>
        <w:t>__________________________________________</w:t>
        <w:br/>
        <w:t>Dr. Luiz Carlos Guieseler Junior</w:t>
        <w:br/>
        <w:t>OAB/PR nº 44.937</w:t>
      </w:r>
    </w:p>
    <w:p>
      <w:r>
        <w:rPr>
          <w:rFonts w:ascii="Times New Roman" w:hAnsi="Times New Roman"/>
          <w:b/>
          <w:sz w:val="24"/>
        </w:rPr>
        <w:t>NOTA METODOLÓGICA</w:t>
      </w:r>
    </w:p>
    <w:p>
      <w:pPr>
        <w:ind w:firstLine="1134"/>
        <w:jc w:val="both"/>
      </w:pPr>
      <w:r>
        <w:rPr>
          <w:rFonts w:ascii="Times New Roman" w:hAnsi="Times New Roman"/>
          <w:sz w:val="22"/>
        </w:rPr>
        <w:t>Minuta sob CPC 472. Qualificações em tese sob CF 5º LVII e LV. Linguagem retórica deliberada — segue roteiro neurolinguístico-persuasivo. Não substitui revisão técnico-jurídica final. PFs sob reserva exceto partes nominalmente identificadas. Conformidade integral CPC 472 + CF 5º + Res. CNJ 492/2023 + Convenção Belém do Pará.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