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39</w:t>
        <w:br/>
        <w:t>RELATÓRIO INVESTIGATIVO PhD · METODOLOGIA GAECO · CARBONO OCULTO × CASO GORENSTEIN</w:t>
      </w:r>
    </w:p>
    <w:p>
      <w:r>
        <w:rPr>
          <w:rFonts w:ascii="Georgia" w:hAnsi="Georgia"/>
          <w:i/>
          <w:sz w:val="20"/>
        </w:rPr>
        <w:t>7 marcadores GAECO + sociograma 5 camadas/24 nós + cruzamento tipológico com Operação Carbono Oculto (MP-SP/PF 28/08/2025) + REAG Asset Management + triangulação Vila Porto/E-Vino Concha y Toro. Autos 1006744-58.2023.8.26.0011 · 15/06/2026.</w:t>
      </w:r>
    </w:p>
    <w:p>
      <w:pPr>
        <w:pStyle w:val="Heading1"/>
      </w:pPr>
      <w:r>
        <w:rPr>
          <w:rFonts w:ascii="Helvetica" w:hAnsi="Helvetica"/>
          <w:color w:val="5B1A1A"/>
        </w:rPr>
        <w:t>Advertência metodológica</w:t>
      </w:r>
    </w:p>
    <w:p>
      <w:r>
        <w:rPr>
          <w:rFonts w:ascii="Georgia" w:hAnsi="Georgia"/>
          <w:i/>
          <w:sz w:val="21"/>
        </w:rPr>
        <w:t>Documento investigativo PhD-GAECO. Distingue (a) vínculo comprovado; (b) hipótese auditável; (c) tipologia externa de risco. As referências a Carbono Oculto/Concierge/Narco Fluxo operam como biblioteca de padrões AML, NÃO como imputação aos investigados.</w:t>
      </w:r>
    </w:p>
    <w:p>
      <w:pPr>
        <w:pStyle w:val="Heading1"/>
      </w:pPr>
      <w:r>
        <w:rPr>
          <w:rFonts w:ascii="Helvetica" w:hAnsi="Helvetica"/>
          <w:color w:val="5B1A1A"/>
        </w:rPr>
        <w:t>I. Quatro achados centrais</w:t>
      </w:r>
    </w:p>
    <w:p>
      <w:r>
        <w:rPr>
          <w:rFonts w:ascii="Georgia" w:hAnsi="Georgia"/>
          <w:b/>
          <w:sz w:val="21"/>
        </w:rPr>
        <w:t>39-A. COINCIDÊNCIA TIPOLÓGICA com Carbono Oculto. A arquitetura E-Vino + Ajaccio + OSLO DTVM + BTG + Vinci + offshores apresenta os 7 marcadores GAECO clássicos que coincidem quase textualmente com tipologia da Operação Carbono Oculto (MP-SP/PF deflagrada 28/08/2025).</w:t>
      </w:r>
    </w:p>
    <w:p>
      <w:r>
        <w:rPr>
          <w:rFonts w:ascii="Georgia" w:hAnsi="Georgia"/>
          <w:b/>
          <w:sz w:val="21"/>
        </w:rPr>
        <w:t>39-B. OPACIDADE DOSADA. Arquitetura aparece líquida para fins regulatórios (balanço E&amp;Y 2023 R$ 1,54 bi + debêntures WNBR12 + LOI R$ 108 MM+ ago/2025 + cash-out R$ 157,9 MM IRPF 2024) MAS se declara ilíquida perante a Justiça.</w:t>
      </w:r>
    </w:p>
    <w:p>
      <w:r>
        <w:rPr>
          <w:rFonts w:ascii="Georgia" w:hAnsi="Georgia"/>
          <w:b/>
          <w:sz w:val="21"/>
        </w:rPr>
        <w:t>39-C. REAG ASSET MANAGEMENT + TRUSTEE DTVM. REAG gestora do FIDC Gold Style (R$ 1 bi empresas-PCC) + Trustee DTVM renunciou administração de fundos investigados. BACEN decretou LIQUIDAÇÃO EXTRAJUDICIAL REAG em 2025 - JANELA ÓTIMA DE ACESSO DOCUMENTAL.</w:t>
      </w:r>
    </w:p>
    <w:p>
      <w:r>
        <w:rPr>
          <w:rFonts w:ascii="Georgia" w:hAnsi="Georgia"/>
          <w:b/>
          <w:sz w:val="21"/>
        </w:rPr>
        <w:t>39-D. TRIANGULAÇÃO VILA PORTO/E-VINO - Concha y Toro. Vila Porto importa ~7.000 garrafas/ano Almaviva + 6.500/ano Don Melchor. E-Vino vende AMBOS rótulos SEM indicar importador. Hipótese de violação direta Cláusula 10.1.7 non-compete.</w:t>
      </w:r>
    </w:p>
    <w:p>
      <w:pPr>
        <w:pStyle w:val="Heading1"/>
      </w:pPr>
      <w:r>
        <w:rPr>
          <w:rFonts w:ascii="Helvetica" w:hAnsi="Helvetica"/>
          <w:color w:val="5B1A1A"/>
        </w:rPr>
        <w:t>II. 7 Marcadores GAECO</w:t>
      </w:r>
    </w:p>
    <w:p>
      <w:r>
        <w:rPr>
          <w:rFonts w:ascii="Georgia" w:hAnsi="Georgia"/>
          <w:sz w:val="20"/>
        </w:rPr>
        <w:t>• 1. Estrutura societária multi-camadas (5 camadas / 24 nós: PF Ari → FIP Ajaccio → DTVM OSLO → operacionais → offshores)</w:t>
      </w:r>
    </w:p>
    <w:p>
      <w:r>
        <w:rPr>
          <w:rFonts w:ascii="Georgia" w:hAnsi="Georgia"/>
          <w:sz w:val="20"/>
        </w:rPr>
        <w:t>• 2. Iliquidez seletiva (PL R$ 1,54 bi + LOI R$ 108 MM + cash-out R$ 157,9 MM vs declaração de iliquidez fls. 1421-1423)</w:t>
      </w:r>
    </w:p>
    <w:p>
      <w:r>
        <w:rPr>
          <w:rFonts w:ascii="Georgia" w:hAnsi="Georgia"/>
          <w:sz w:val="20"/>
        </w:rPr>
        <w:t>• 3. Veículos sem QSA (JP2R Singapura + Anacapri/Brescia/Cetara/Raffaello Delaware SEM QSA cadastrado no CNPJ brasileiro)</w:t>
      </w:r>
    </w:p>
    <w:p>
      <w:r>
        <w:rPr>
          <w:rFonts w:ascii="Georgia" w:hAnsi="Georgia"/>
          <w:sz w:val="20"/>
        </w:rPr>
        <w:t>• 4. Cisões/holdings instrumentais com timing suspeito (RT 127 vida 20m + Bonifácio FIP constituído durante litígio + Interbeverages R$ 10k→R$ 773,9 MM→R$ 36,2 MM)</w:t>
      </w:r>
    </w:p>
    <w:p>
      <w:r>
        <w:rPr>
          <w:rFonts w:ascii="Georgia" w:hAnsi="Georgia"/>
          <w:sz w:val="20"/>
        </w:rPr>
        <w:t>• 5. Administração sobreposta (Marcos Leal 7 diretorias; Ari co-admin; Tatiana e Thiago 0% Agro Syrah)</w:t>
      </w:r>
    </w:p>
    <w:p>
      <w:r>
        <w:rPr>
          <w:rFonts w:ascii="Georgia" w:hAnsi="Georgia"/>
          <w:sz w:val="20"/>
        </w:rPr>
        <w:t>• 6. Conexão FIP→Gestora→Beneficiário (circularidade Fram → JP2R → Ajaccio → E-Vino)</w:t>
      </w:r>
    </w:p>
    <w:p>
      <w:r>
        <w:rPr>
          <w:rFonts w:ascii="Georgia" w:hAnsi="Georgia"/>
          <w:sz w:val="20"/>
        </w:rPr>
        <w:t>• 7. Cláusulas pré-constituídas de aniquilação patrimonial (Acordo 25/05/2022: 7.3.5 + 7.7.1 + 7.3 + 9.1.1)</w:t>
      </w:r>
    </w:p>
    <w:p>
      <w:pPr>
        <w:pStyle w:val="Heading1"/>
      </w:pPr>
      <w:r>
        <w:rPr>
          <w:rFonts w:ascii="Helvetica" w:hAnsi="Helvetica"/>
          <w:color w:val="5B1A1A"/>
        </w:rPr>
        <w:t>III. Sociograma 5 camadas / 24 nós</w:t>
      </w:r>
    </w:p>
    <w:p>
      <w:pPr>
        <w:pStyle w:val="Heading2"/>
      </w:pPr>
      <w:r>
        <w:rPr>
          <w:rFonts w:ascii="Helvetica" w:hAnsi="Helvetica"/>
          <w:color w:val="5B1A1A"/>
        </w:rPr>
        <w:t>Camada 1 - Núcleo de Controle</w:t>
      </w:r>
    </w:p>
    <w:p>
      <w:r>
        <w:rPr>
          <w:rFonts w:ascii="Georgia" w:hAnsi="Georgia"/>
          <w:sz w:val="21"/>
        </w:rPr>
        <w:t>Ari Gorenstein (CPF 136.447.108-64) - bridge node, centralidade desproporcional = shadow director (Doc 35 12/12 indicadores)</w:t>
      </w:r>
    </w:p>
    <w:p>
      <w:pPr>
        <w:pStyle w:val="Heading2"/>
      </w:pPr>
      <w:r>
        <w:rPr>
          <w:rFonts w:ascii="Helvetica" w:hAnsi="Helvetica"/>
          <w:color w:val="5B1A1A"/>
        </w:rPr>
        <w:t>Camada 2 - Veículo Concentração</w:t>
      </w:r>
    </w:p>
    <w:p>
      <w:r>
        <w:rPr>
          <w:rFonts w:ascii="Georgia" w:hAnsi="Georgia"/>
          <w:sz w:val="21"/>
        </w:rPr>
        <w:t>Ajaccio FIP CNPJ 37.381.595/0001-82 · PL R$ 1,533 bi · 100% E-Vino · Classe F Ari 4,874% com 4 cadeiras Comitê (controle desproporcional)</w:t>
      </w:r>
    </w:p>
    <w:p>
      <w:pPr>
        <w:pStyle w:val="Heading2"/>
      </w:pPr>
      <w:r>
        <w:rPr>
          <w:rFonts w:ascii="Helvetica" w:hAnsi="Helvetica"/>
          <w:color w:val="5B1A1A"/>
        </w:rPr>
        <w:t>Camada 3 - Cluster Operacional</w:t>
      </w:r>
    </w:p>
    <w:p>
      <w:r>
        <w:rPr>
          <w:rFonts w:ascii="Georgia" w:hAnsi="Georgia"/>
          <w:sz w:val="21"/>
        </w:rPr>
        <w:t>E-Vino (17.392.519/0001-65) + Agro Syrah (23.699.696/0001-91) + Grand Cru Importadora (05.089.637/0001-10) + Grand Cru Distribuidora (13.728.375/0001-14) + Víssimo Franquias (12.584.840/0001-28) + Interbeverages (25.383.665/0001-52). Sede compartilhada Bela Cintra 986. Densidade intra-cluster - confusão patrimonial CC 50 §2 II.</w:t>
      </w:r>
    </w:p>
    <w:p>
      <w:pPr>
        <w:pStyle w:val="Heading2"/>
      </w:pPr>
      <w:r>
        <w:rPr>
          <w:rFonts w:ascii="Helvetica" w:hAnsi="Helvetica"/>
          <w:color w:val="5B1A1A"/>
        </w:rPr>
        <w:t>Camada 4 - Veículos de Blindagem</w:t>
      </w:r>
    </w:p>
    <w:p>
      <w:r>
        <w:rPr>
          <w:rFonts w:ascii="Georgia" w:hAnsi="Georgia"/>
          <w:sz w:val="21"/>
        </w:rPr>
        <w:t>RT 127 Empreendimentos (44.548.365/0001-20) vida 20 meses (10/12/2021-05/09/2023); Bonifácio FIP (59.402.540/0001-44) constituído 11/02/2025 zero FNET; Interbeverages capital R$ 10k → R$ 773,9 MM → R$ 36,2 MM</w:t>
      </w:r>
    </w:p>
    <w:p>
      <w:pPr>
        <w:pStyle w:val="Heading2"/>
      </w:pPr>
      <w:r>
        <w:rPr>
          <w:rFonts w:ascii="Helvetica" w:hAnsi="Helvetica"/>
          <w:color w:val="5B1A1A"/>
        </w:rPr>
        <w:t>Camada 5 - Véu Offshore</w:t>
      </w:r>
    </w:p>
    <w:p>
      <w:r>
        <w:rPr>
          <w:rFonts w:ascii="Georgia" w:hAnsi="Georgia"/>
          <w:sz w:val="21"/>
        </w:rPr>
        <w:t>JP2R PTE LTD Singapura UEN 201840728Z + Anacapri (43.028.251/0001-97) + Brescia (29.522.741/0001-14) + Cetara (29.485.363/0001-46) + Raffaello (a confirmar) Delaware + Wine in Black GmbH Munique + Puddle Glum LLC Flórida L10000093770 + ACPE Advisors S.A. Uruguai</w:t>
      </w:r>
    </w:p>
    <w:p>
      <w:pPr>
        <w:pStyle w:val="Heading1"/>
      </w:pPr>
      <w:r>
        <w:rPr>
          <w:rFonts w:ascii="Helvetica" w:hAnsi="Helvetica"/>
          <w:color w:val="5B1A1A"/>
        </w:rPr>
        <w:t>IV. Operação Carbono Oculto - síntese</w:t>
      </w:r>
    </w:p>
    <w:p>
      <w:r>
        <w:rPr>
          <w:rFonts w:ascii="Georgia" w:hAnsi="Georgia"/>
          <w:sz w:val="21"/>
        </w:rPr>
        <w:t>Deflagração: 28/08/2025 (MP-SP + Receita Federal + GAECO + PF)</w:t>
      </w:r>
    </w:p>
    <w:p>
      <w:r>
        <w:rPr>
          <w:rFonts w:ascii="Georgia" w:hAnsi="Georgia"/>
          <w:sz w:val="21"/>
        </w:rPr>
        <w:t>Núcleo: PCC × mercado financeiro (combustíveis ilícitos + ~40 fundos)</w:t>
      </w:r>
    </w:p>
    <w:p>
      <w:r>
        <w:rPr>
          <w:rFonts w:ascii="Georgia" w:hAnsi="Georgia"/>
          <w:sz w:val="21"/>
        </w:rPr>
        <w:t>Magnitude: R$ 10 bi importação ilícita · 1.000 postos · R$ 52 bi movimentado 2020-2024 · R$ 46 bi fintechs · R$ 30 bi patrimônio FIPs/FIDCs</w:t>
      </w:r>
    </w:p>
    <w:p>
      <w:r>
        <w:rPr>
          <w:rFonts w:ascii="Georgia" w:hAnsi="Georgia"/>
          <w:sz w:val="21"/>
        </w:rPr>
        <w:t>Arquitetura tríplice: (1) Operacional combustíveis · (2) Trânsito fintechs (contas-bolsão) · (3) Blindagem patrimonial (FIPs/FIDCs cotista único)</w:t>
      </w:r>
    </w:p>
    <w:p>
      <w:r>
        <w:rPr>
          <w:rFonts w:ascii="Georgia" w:hAnsi="Georgia"/>
          <w:sz w:val="21"/>
        </w:rPr>
        <w:t>Marcadores: 17 distribuidoras capital idêntico R$ 4,5 MM (simulação) · fundo-cotista-de-fundo · ~40 fundos · contas-bolsão</w:t>
      </w:r>
    </w:p>
    <w:p>
      <w:r>
        <w:rPr>
          <w:rFonts w:ascii="Georgia" w:hAnsi="Georgia"/>
          <w:sz w:val="21"/>
        </w:rPr>
        <w:t>Tipificações: Lei 8.137/90 + 9.613/98 + 7.492/86 + 12.850/13 + CP 171/299/304/347</w:t>
      </w:r>
    </w:p>
    <w:p>
      <w:r>
        <w:rPr>
          <w:rFonts w:ascii="Georgia" w:hAnsi="Georgia"/>
          <w:b/>
          <w:sz w:val="21"/>
        </w:rPr>
        <w:t>Nós CONFIRMADOS: REAG Asset Management (FIDC Gold Style R$ 1 bi PCC) + Trustee DTVM (renunciou)</w:t>
      </w:r>
    </w:p>
    <w:p>
      <w:r>
        <w:rPr>
          <w:rFonts w:ascii="Georgia" w:hAnsi="Georgia"/>
          <w:b/>
          <w:sz w:val="21"/>
        </w:rPr>
        <w:t>BACEN decretou LIQUIDAÇÃO EXTRAJUDICIAL REAG em 2025 - cria JANELA ÓTIMA de acesso documental</w:t>
      </w:r>
    </w:p>
    <w:p>
      <w:pPr>
        <w:pStyle w:val="Heading1"/>
      </w:pPr>
      <w:r>
        <w:rPr>
          <w:rFonts w:ascii="Helvetica" w:hAnsi="Helvetica"/>
          <w:color w:val="5B1A1A"/>
        </w:rPr>
        <w:t>V. Comparação tipológica Carbono Oculto × Caso Gorenstein</w:t>
      </w:r>
    </w:p>
    <w:p>
      <w:r>
        <w:rPr>
          <w:rFonts w:ascii="Georgia" w:hAnsi="Georgia"/>
          <w:sz w:val="20"/>
        </w:rPr>
        <w:t>• Fundo-cotista-de-fundo: Carbono ~40 FIPs/FIDCs single-cotist | Gorenstein: Volimo→Ajaccio 97,49% + Avila→Ajaccio R$ 505 MM + XPA Trafalgar→Ajaccio</w:t>
      </w:r>
    </w:p>
    <w:p>
      <w:r>
        <w:rPr>
          <w:rFonts w:ascii="Georgia" w:hAnsi="Georgia"/>
          <w:sz w:val="20"/>
        </w:rPr>
        <w:t>• Cota única: Carbono = blindagem | Gorenstein = Bonifácio FIP zero cotistas declarados (constituição 11/02/2025)</w:t>
      </w:r>
    </w:p>
    <w:p>
      <w:r>
        <w:rPr>
          <w:rFonts w:ascii="Georgia" w:hAnsi="Georgia"/>
          <w:sz w:val="20"/>
        </w:rPr>
        <w:t>• Fintechs/DTVMs satélite: Carbono contas-bolsão | Gorenstein OSLO DTVM CNPJ 13.673.855/0001-25 + GIIN FATCA 0W2JW5.99999.SL.076</w:t>
      </w:r>
    </w:p>
    <w:p>
      <w:r>
        <w:rPr>
          <w:rFonts w:ascii="Georgia" w:hAnsi="Georgia"/>
          <w:sz w:val="20"/>
        </w:rPr>
        <w:t>• Capital idêntico: Carbono 14 distribuidoras R$ 4,5 MM | Gorenstein - LLCs Delaware (padrão a verificar)</w:t>
      </w:r>
    </w:p>
    <w:p>
      <w:r>
        <w:rPr>
          <w:rFonts w:ascii="Georgia" w:hAnsi="Georgia"/>
          <w:sz w:val="20"/>
        </w:rPr>
        <w:t>• Aquisições materiais: Carbono terminal + usinas + 1.600 caminhões + imóveis | Gorenstein RT 127 R$ 57 MM + Vila Porto + Grand Cru R$ 650 MM Vinci</w:t>
      </w:r>
    </w:p>
    <w:p>
      <w:r>
        <w:rPr>
          <w:rFonts w:ascii="Georgia" w:hAnsi="Georgia"/>
          <w:sz w:val="20"/>
        </w:rPr>
        <w:t>• Liquidação extrajudicial: REAG (2025) - OSLO DTVM em risco regulatório elevado (efeito Doc 37 N4-N5)</w:t>
      </w:r>
    </w:p>
    <w:p>
      <w:pPr>
        <w:pStyle w:val="Heading1"/>
      </w:pPr>
      <w:r>
        <w:rPr>
          <w:rFonts w:ascii="Helvetica" w:hAnsi="Helvetica"/>
          <w:color w:val="5B1A1A"/>
        </w:rPr>
        <w:t>VI. Operações Concierge e Narco Fluxo (tipologias AML)</w:t>
      </w:r>
    </w:p>
    <w:p>
      <w:r>
        <w:rPr>
          <w:rFonts w:ascii="Georgia" w:hAnsi="Georgia"/>
          <w:sz w:val="21"/>
        </w:rPr>
        <w:t>Concierge (Receita Federal) - "conta garantida" + "conta bolsão" para ocultar titularidade real. Aplicação: Apoio Admin (saldo R$ 30 permanente + 22 transferências mensais)</w:t>
      </w:r>
    </w:p>
    <w:p>
      <w:r>
        <w:rPr>
          <w:rFonts w:ascii="Georgia" w:hAnsi="Georgia"/>
          <w:sz w:val="21"/>
        </w:rPr>
        <w:t>Narco Fluxo (MPF) - transferências/cripto/empresas fachada/contas passagem/triangulações/mescla. Aplicação: E-Vino → Apoio → BTG Ari R$ 680k em 24h (30/01/2025); R$ 1,86 MM durante bloqueio</w:t>
      </w:r>
    </w:p>
    <w:p>
      <w:r>
        <w:rPr>
          <w:rFonts w:ascii="Georgia" w:hAnsi="Georgia"/>
          <w:b/>
          <w:sz w:val="21"/>
        </w:rPr>
        <w:t>G1/MPF combustíveis - fintechs + ≥40 fundos cotista único contas-bolsão. Aplicação: BTG (Volimo+Avila+Sharp) + XP (XPA Trafalgar) + Vinci (Ajaccio) silêncio coordenado SISBAJUD (Doc 37 N6)</w:t>
      </w:r>
    </w:p>
    <w:p>
      <w:pPr>
        <w:pStyle w:val="Heading1"/>
      </w:pPr>
      <w:r>
        <w:rPr>
          <w:rFonts w:ascii="Helvetica" w:hAnsi="Helvetica"/>
          <w:color w:val="5B1A1A"/>
        </w:rPr>
        <w:t>VII. Triangulação Vila Porto/E-Vino - Concha y Toro</w:t>
      </w:r>
    </w:p>
    <w:p>
      <w:r>
        <w:rPr>
          <w:rFonts w:ascii="Georgia" w:hAnsi="Georgia"/>
          <w:b/>
          <w:sz w:val="21"/>
        </w:rPr>
        <w:t>FATO PÚBLICO: Vila Porto importa ~7.000 garrafas/ano Almaviva + 6.500/ano Don Melchor (Concha y Toro). E-Vino vende Almaviva Cabernet 2020 + Don Melchor Cabernet 2020 SEM indicar importador.</w:t>
      </w:r>
    </w:p>
    <w:p>
      <w:r>
        <w:rPr>
          <w:rFonts w:ascii="Georgia" w:hAnsi="Georgia"/>
          <w:sz w:val="21"/>
        </w:rPr>
        <w:t>HIPÓTESE AUDITÁVEL Nível B: Vila Porto opera como importadora dos rótulos vendidos pela E-Vino = violação direta Cláusula 10.1.7 (non-compete) + vínculo comercial + auto-contratação + desvio oportunidade societária (LSA 155).</w:t>
      </w:r>
    </w:p>
    <w:p>
      <w:r>
        <w:rPr>
          <w:rFonts w:ascii="Georgia" w:hAnsi="Georgia"/>
          <w:sz w:val="21"/>
        </w:rPr>
        <w:t>DILIGÊNCIAS: (i) ofício RFB extração DI/DUIMP Almaviva+Don Melchor de Vila Porto; (ii) ofício E-Vino contratos aquisição/distribuição mesmos rótulos; (iii) cruzamento lotes vs vendas; (iv) ofício Concha y Toro Brasil contrapartes autorizadas.</w:t>
      </w:r>
    </w:p>
    <w:p>
      <w:pPr>
        <w:pStyle w:val="Heading1"/>
      </w:pPr>
      <w:r>
        <w:rPr>
          <w:rFonts w:ascii="Helvetica" w:hAnsi="Helvetica"/>
          <w:color w:val="5B1A1A"/>
        </w:rPr>
        <w:t>VIII. Representações institucionais recomendadas</w:t>
      </w:r>
    </w:p>
    <w:p>
      <w:r>
        <w:rPr>
          <w:rFonts w:ascii="Georgia" w:hAnsi="Georgia"/>
          <w:sz w:val="21"/>
        </w:rPr>
        <w:t>CVM - OSLO DTVM (art. 39 RCVM 175/2022 + omissão KPMG sobre demandas judiciais + Bonifácio zero FNET + Classe J retroativa)</w:t>
      </w:r>
    </w:p>
    <w:p>
      <w:r>
        <w:rPr>
          <w:rFonts w:ascii="Georgia" w:hAnsi="Georgia"/>
          <w:sz w:val="21"/>
        </w:rPr>
        <w:t>BACEN - OSLO + cooperação cruzada liquidação REAG + cluster cross-border (Res. BCB 244/2022 + Circ. 3.978/20)</w:t>
      </w:r>
    </w:p>
    <w:p>
      <w:r>
        <w:rPr>
          <w:rFonts w:ascii="Georgia" w:hAnsi="Georgia"/>
          <w:sz w:val="21"/>
        </w:rPr>
        <w:t>COAF - RIF fluxos E-Vino→Apoio→BTG + 7 marcadores GAECO + conexão tipológica Carbono Oculto</w:t>
      </w:r>
    </w:p>
    <w:p>
      <w:r>
        <w:rPr>
          <w:rFonts w:ascii="Georgia" w:hAnsi="Georgia"/>
          <w:sz w:val="21"/>
        </w:rPr>
        <w:t>RFB - Reporting FATCA OSLO (GIIN 0W2JW5.99999.SL.076) + DBE/CBE/RDE-IED + cooperação Brasil-EUA (IGA Modelo 1) + cooperação Brasil-Uruguai</w:t>
      </w:r>
    </w:p>
    <w:p>
      <w:r>
        <w:rPr>
          <w:rFonts w:ascii="Georgia" w:hAnsi="Georgia"/>
          <w:sz w:val="21"/>
        </w:rPr>
        <w:t>MP-SP Promotoria Família - manifestação cíveis sobre 7 marcadores GAECO + violência patrimonial LMP 7º IV + Res. CNJ 492/2023</w:t>
      </w:r>
    </w:p>
    <w:p>
      <w:r>
        <w:rPr>
          <w:rFonts w:ascii="Georgia" w:hAnsi="Georgia"/>
          <w:sz w:val="21"/>
        </w:rPr>
        <w:t>MP-SP DEIC/GAECO - notícia-crime fraude execução + lavagem + organização criminosa comparada Carbono Oculto</w:t>
      </w:r>
    </w:p>
    <w:p>
      <w:r>
        <w:rPr>
          <w:rFonts w:ascii="Georgia" w:hAnsi="Georgia"/>
          <w:sz w:val="21"/>
        </w:rPr>
        <w:t>MPF - cooperação cruzada com Carbono Oculto + cooperação internacional FATCA/MLAT</w:t>
      </w:r>
    </w:p>
    <w:p>
      <w:r>
        <w:rPr>
          <w:rFonts w:ascii="Georgia" w:hAnsi="Georgia"/>
          <w:sz w:val="21"/>
        </w:rPr>
        <w:t>SEC + IRS + FinCEN via DRCI - UBO LLCs Delaware + Puddle Glum + QIBs 144A + reporte FATCA</w:t>
      </w:r>
    </w:p>
    <w:p>
      <w:r>
        <w:rPr>
          <w:rFonts w:ascii="Georgia" w:hAnsi="Georgia"/>
          <w:sz w:val="21"/>
        </w:rPr>
        <w:t>OAB-SP - suspensão postulatória profissionais com custeio E-Vino (EAOAB 18 + Provimento 188)</w:t>
      </w:r>
    </w:p>
    <w:p>
      <w:pPr>
        <w:pStyle w:val="Heading1"/>
      </w:pPr>
      <w:r>
        <w:rPr>
          <w:rFonts w:ascii="Helvetica" w:hAnsi="Helvetica"/>
          <w:color w:val="5B1A1A"/>
        </w:rPr>
        <w:t>IX. Magnitude consolidada</w:t>
      </w:r>
    </w:p>
    <w:p>
      <w:r>
        <w:rPr>
          <w:rFonts w:ascii="Georgia" w:hAnsi="Georgia"/>
          <w:sz w:val="21"/>
        </w:rPr>
        <w:t>PL Ajaccio 2023 (E&amp;Y): R$ 1,54 bi · PL 11/2024 (CVM): R$ 1,57 bi (caixa R$ 0,00)</w:t>
      </w:r>
    </w:p>
    <w:p>
      <w:r>
        <w:rPr>
          <w:rFonts w:ascii="Georgia" w:hAnsi="Georgia"/>
          <w:sz w:val="21"/>
        </w:rPr>
        <w:t>SISBAJUD 18/05/2023: R$ 84.856.714,65 · Bloqueio efetivo: R$ 42.428.357,32 · FRAM/OSLO 91% = R$ 77.640.365,33</w:t>
      </w:r>
    </w:p>
    <w:p>
      <w:r>
        <w:rPr>
          <w:rFonts w:ascii="Georgia" w:hAnsi="Georgia"/>
          <w:sz w:val="21"/>
        </w:rPr>
        <w:t>LOI ago/2025: R$ 108 MM+ · Cash-out IRPF 2024: R$ 157,9 MM · Cisão RT 127: R$ 57.180.000 · non-compete: R$ 749.183,38 (29/01/2025)</w:t>
      </w:r>
    </w:p>
    <w:p>
      <w:r>
        <w:rPr>
          <w:rFonts w:ascii="Georgia" w:hAnsi="Georgia"/>
          <w:sz w:val="21"/>
        </w:rPr>
        <w:t>22 transferências E-Vino → Apoio: R$ 1,86 MM · 3 TEDs 30/01/2025: R$ 680k em &lt;24h</w:t>
      </w:r>
    </w:p>
    <w:p>
      <w:r>
        <w:rPr>
          <w:rFonts w:ascii="Georgia" w:hAnsi="Georgia"/>
          <w:sz w:val="21"/>
        </w:rPr>
        <w:t>Interbeverages rotação: R$ 10k → R$ 773,9 MM → R$ 36,2 MM</w:t>
      </w:r>
    </w:p>
    <w:p>
      <w:r>
        <w:rPr>
          <w:rFonts w:ascii="Georgia" w:hAnsi="Georgia"/>
          <w:b/>
          <w:sz w:val="21"/>
        </w:rPr>
        <w:t>Patrimônio Ari cenário central (Doc 35): R$ 1,43-1,53 bi · Meação Millena 50%: R$ 717-765 MM · Recovery Waterfall líquido (M&amp;A v6): R$ 239-475 MM (mediana R$ 320 MM)</w:t>
      </w:r>
    </w:p>
    <w:p>
      <w:pPr>
        <w:pStyle w:val="Heading1"/>
      </w:pPr>
      <w:r>
        <w:rPr>
          <w:rFonts w:ascii="Helvetica" w:hAnsi="Helvetica"/>
          <w:color w:val="5B1A1A"/>
        </w:rPr>
        <w:t>X. Janelas táticas</w:t>
      </w:r>
    </w:p>
    <w:p>
      <w:r>
        <w:rPr>
          <w:rFonts w:ascii="Georgia" w:hAnsi="Georgia"/>
          <w:sz w:val="21"/>
        </w:rPr>
        <w:t>Janela 1: Liquidação REAG (2025-2026) - solicitar RFB+BACEN documentos FIDC Gold Style + correlatos</w:t>
      </w:r>
    </w:p>
    <w:p>
      <w:r>
        <w:rPr>
          <w:rFonts w:ascii="Georgia" w:hAnsi="Georgia"/>
          <w:sz w:val="21"/>
        </w:rPr>
        <w:t>Janela 2: Pós-deflagração Carbono Oculto (28/08/2025+) - manifestação MP-SP/GAECO sobre conexão tipológica</w:t>
      </w:r>
    </w:p>
    <w:p>
      <w:r>
        <w:rPr>
          <w:rFonts w:ascii="Georgia" w:hAnsi="Georgia"/>
          <w:sz w:val="21"/>
        </w:rPr>
        <w:t>Janela 3: Lock-Up Ajaccio vence 25/05/2027 - 24 meses para garantir partilha (Doc 37)</w:t>
      </w:r>
    </w:p>
    <w:p>
      <w:r>
        <w:rPr>
          <w:rFonts w:ascii="Georgia" w:hAnsi="Georgia"/>
          <w:sz w:val="21"/>
        </w:rPr>
        <w:t>Janela 4: Pré-IPO/M&amp;A E-Vino - monitorar qualquer evento de liquidez (Cláusula 9.1.1 IPO compulsório)</w:t>
      </w:r>
    </w:p>
    <w:p>
      <w:pPr>
        <w:pStyle w:val="Heading1"/>
      </w:pPr>
      <w:r>
        <w:rPr>
          <w:rFonts w:ascii="Helvetica" w:hAnsi="Helvetica"/>
          <w:color w:val="5B1A1A"/>
        </w:rPr>
        <w:t>XI. Nota metodológica</w:t>
      </w:r>
    </w:p>
    <w:p>
      <w:r>
        <w:rPr>
          <w:rFonts w:ascii="Georgia" w:hAnsi="Georgia"/>
          <w:i/>
          <w:sz w:val="21"/>
        </w:rPr>
        <w:t>CPC 472. Distinguidos 3 níveis evidenciais: vínculo comprovado, hipótese auditável, tipologia externa. Referências Carbono Oculto/Concierge/Narco Fluxo = biblioteca de padrões AML, NÃO imputação. Em tese sob CF 5º LVII e LV. PFs anonimizadas em circulação externa (exceto partes nominalmente identificadas). Conversão em peça subscrita Dra. Júlia Melim Borges Eleutério OAB/SC 22.013 · OAB/PR 98.941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