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A5B"/>
          <w:sz w:val="24"/>
        </w:rPr>
        <w:t>CONFIDENCIAL · DOCUMENTO 31</w:t>
        <w:br/>
        <w:t>AUDITORIA FORENSE DE TI · INTEGRIDADE DAS PEÇAS DIGITAIS 32, 33, 35 e 36</w:t>
      </w:r>
    </w:p>
    <w:p>
      <w:r>
        <w:rPr>
          <w:rFonts w:ascii="Georgia" w:hAnsi="Georgia"/>
          <w:i/>
          <w:sz w:val="20"/>
        </w:rPr>
        <w:t>Análise pericial de metadados PDF, sobreposições, sequências de folhas, signatários, protocolos WPIN e códigos eSAJ. Autos 1006744-58.2023.8.26.0011 · 1ª VF Pinheiros/SP · 15/06/2026.</w:t>
      </w:r>
    </w:p>
    <w:p>
      <w:pPr>
        <w:pStyle w:val="Heading1"/>
      </w:pPr>
      <w:r>
        <w:rPr>
          <w:rFonts w:ascii="Helvetica" w:hAnsi="Helvetica"/>
          <w:color w:val="1B3A5B"/>
        </w:rPr>
        <w:t>I. Escopo e ressalva sobre "STF"</w:t>
      </w:r>
    </w:p>
    <w:p>
      <w:r>
        <w:rPr>
          <w:rFonts w:ascii="Georgia" w:hAnsi="Georgia"/>
          <w:sz w:val="21"/>
        </w:rPr>
        <w:t>As quatro peças remetidas pertencem aos autos 1006744-58.2023.8.26.0011 do TJSP (1ª VF Pinheiros), NÃO ao STF. Caso haja acórdão STF correlato, deve ser remetido para auditoria específica.</w:t>
      </w:r>
    </w:p>
    <w:p>
      <w:pPr>
        <w:pStyle w:val="Heading1"/>
      </w:pPr>
      <w:r>
        <w:rPr>
          <w:rFonts w:ascii="Helvetica" w:hAnsi="Helvetica"/>
          <w:color w:val="1B3A5B"/>
        </w:rPr>
        <w:t>II. Veredito técnico</w:t>
      </w:r>
    </w:p>
    <w:p>
      <w:r>
        <w:rPr>
          <w:rFonts w:ascii="Georgia" w:hAnsi="Georgia"/>
          <w:b/>
          <w:sz w:val="21"/>
        </w:rPr>
        <w:t>1. INTEGRIDADE TÉCNICA PRESERVADA. Producer iText 2.1.7 by 1T3XT (padrão eSAJ-TJSP) em todas; CreationDate == ModDate; único %%EOF; sem JS; sem OCG; códigos eSAJ verificáveis.</w:t>
      </w:r>
    </w:p>
    <w:p>
      <w:r>
        <w:rPr>
          <w:rFonts w:ascii="Georgia" w:hAnsi="Georgia"/>
          <w:b/>
          <w:sz w:val="21"/>
        </w:rPr>
        <w:t>2. SOBREPOSIÇÃO DOCUMENTAL CONFIRMADA. 19 folhas (2543-2561) duplicadas entre peça 32 e peça 33 (mesma signatária Kezia, mesmo protocolo WPIN26700578663, mesmo código eSAJ IpcD5ijV). 7 folhas (399, 407, 417, 486, 487, 503, 761) duplicadas entre 35 e 36. NÃO É adulteração — é recompactação/re-extração natural do eSAJ.</w:t>
      </w:r>
    </w:p>
    <w:p>
      <w:r>
        <w:rPr>
          <w:rFonts w:ascii="Georgia" w:hAnsi="Georgia"/>
          <w:b/>
          <w:sz w:val="21"/>
        </w:rPr>
        <w:t>3. SALTOS DE FOLHA POR SELEÇÃO. Peça 35 cobre 125 folhas (range 5-794) com 34 saltos; peça 36 cobre 47 folhas (range 399-1706) com 30 saltos. Reflexo de extratos seletivos da pasta digital.</w:t>
      </w:r>
    </w:p>
    <w:p>
      <w:pPr>
        <w:pStyle w:val="Heading1"/>
      </w:pPr>
      <w:r>
        <w:rPr>
          <w:rFonts w:ascii="Helvetica" w:hAnsi="Helvetica"/>
          <w:color w:val="1B3A5B"/>
        </w:rPr>
        <w:t>III. Matriz consolidada de metadados</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t>Atributo</w:t>
            </w:r>
          </w:p>
        </w:tc>
        <w:tc>
          <w:tcPr>
            <w:tcW w:type="dxa" w:w="1994"/>
          </w:tcPr>
          <w:p>
            <w:r>
              <w:t>Peça 32</w:t>
            </w:r>
          </w:p>
        </w:tc>
        <w:tc>
          <w:tcPr>
            <w:tcW w:type="dxa" w:w="1994"/>
          </w:tcPr>
          <w:p>
            <w:r>
              <w:t>Peça 33</w:t>
            </w:r>
          </w:p>
        </w:tc>
        <w:tc>
          <w:tcPr>
            <w:tcW w:type="dxa" w:w="1994"/>
          </w:tcPr>
          <w:p>
            <w:r>
              <w:t>Peça 35</w:t>
            </w:r>
          </w:p>
        </w:tc>
        <w:tc>
          <w:tcPr>
            <w:tcW w:type="dxa" w:w="1994"/>
          </w:tcPr>
          <w:p>
            <w:r>
              <w:t>Peça 36</w:t>
            </w:r>
          </w:p>
        </w:tc>
      </w:tr>
      <w:tr>
        <w:tc>
          <w:tcPr>
            <w:tcW w:type="dxa" w:w="1994"/>
          </w:tcPr>
          <w:p>
            <w:r>
              <w:t>Tamanho</w:t>
            </w:r>
          </w:p>
        </w:tc>
        <w:tc>
          <w:tcPr>
            <w:tcW w:type="dxa" w:w="1994"/>
          </w:tcPr>
          <w:p>
            <w:r>
              <w:t>253.468</w:t>
            </w:r>
          </w:p>
        </w:tc>
        <w:tc>
          <w:tcPr>
            <w:tcW w:type="dxa" w:w="1994"/>
          </w:tcPr>
          <w:p>
            <w:r>
              <w:t>473.222</w:t>
            </w:r>
          </w:p>
        </w:tc>
        <w:tc>
          <w:tcPr>
            <w:tcW w:type="dxa" w:w="1994"/>
          </w:tcPr>
          <w:p>
            <w:r>
              <w:t>3.023.278</w:t>
            </w:r>
          </w:p>
        </w:tc>
        <w:tc>
          <w:tcPr>
            <w:tcW w:type="dxa" w:w="1994"/>
          </w:tcPr>
          <w:p>
            <w:r>
              <w:t>408.419</w:t>
            </w:r>
          </w:p>
        </w:tc>
      </w:tr>
      <w:tr>
        <w:tc>
          <w:tcPr>
            <w:tcW w:type="dxa" w:w="1994"/>
          </w:tcPr>
          <w:p>
            <w:r>
              <w:t>Páginas PDF</w:t>
            </w:r>
          </w:p>
        </w:tc>
        <w:tc>
          <w:tcPr>
            <w:tcW w:type="dxa" w:w="1994"/>
          </w:tcPr>
          <w:p>
            <w:r>
              <w:t>19</w:t>
            </w:r>
          </w:p>
        </w:tc>
        <w:tc>
          <w:tcPr>
            <w:tcW w:type="dxa" w:w="1994"/>
          </w:tcPr>
          <w:p>
            <w:r>
              <w:t>28</w:t>
            </w:r>
          </w:p>
        </w:tc>
        <w:tc>
          <w:tcPr>
            <w:tcW w:type="dxa" w:w="1994"/>
          </w:tcPr>
          <w:p>
            <w:r>
              <w:t>84</w:t>
            </w:r>
          </w:p>
        </w:tc>
        <w:tc>
          <w:tcPr>
            <w:tcW w:type="dxa" w:w="1994"/>
          </w:tcPr>
          <w:p>
            <w:r>
              <w:t>22</w:t>
            </w:r>
          </w:p>
        </w:tc>
      </w:tr>
      <w:tr>
        <w:tc>
          <w:tcPr>
            <w:tcW w:type="dxa" w:w="1994"/>
          </w:tcPr>
          <w:p>
            <w:r>
              <w:t>CreationDate</w:t>
            </w:r>
          </w:p>
        </w:tc>
        <w:tc>
          <w:tcPr>
            <w:tcW w:type="dxa" w:w="1994"/>
          </w:tcPr>
          <w:p>
            <w:r>
              <w:t>08/06/2026 21:16</w:t>
            </w:r>
          </w:p>
        </w:tc>
        <w:tc>
          <w:tcPr>
            <w:tcW w:type="dxa" w:w="1994"/>
          </w:tcPr>
          <w:p>
            <w:r>
              <w:t>08/06/2026 21:18</w:t>
            </w:r>
          </w:p>
        </w:tc>
        <w:tc>
          <w:tcPr>
            <w:tcW w:type="dxa" w:w="1994"/>
          </w:tcPr>
          <w:p>
            <w:r>
              <w:t>12/06/2026 01:28</w:t>
            </w:r>
          </w:p>
        </w:tc>
        <w:tc>
          <w:tcPr>
            <w:tcW w:type="dxa" w:w="1994"/>
          </w:tcPr>
          <w:p>
            <w:r>
              <w:t>13/06/2026 13:04</w:t>
            </w:r>
          </w:p>
        </w:tc>
      </w:tr>
      <w:tr>
        <w:tc>
          <w:tcPr>
            <w:tcW w:type="dxa" w:w="1994"/>
          </w:tcPr>
          <w:p>
            <w:r>
              <w:t>Producer</w:t>
            </w:r>
          </w:p>
        </w:tc>
        <w:tc>
          <w:tcPr>
            <w:tcW w:type="dxa" w:w="1994"/>
          </w:tcPr>
          <w:p>
            <w:r>
              <w:t>iText 2.1.7</w:t>
            </w:r>
          </w:p>
        </w:tc>
        <w:tc>
          <w:tcPr>
            <w:tcW w:type="dxa" w:w="1994"/>
          </w:tcPr>
          <w:p>
            <w:r>
              <w:t>iText 2.1.7</w:t>
            </w:r>
          </w:p>
        </w:tc>
        <w:tc>
          <w:tcPr>
            <w:tcW w:type="dxa" w:w="1994"/>
          </w:tcPr>
          <w:p>
            <w:r>
              <w:t>iText 2.1.7</w:t>
            </w:r>
          </w:p>
        </w:tc>
        <w:tc>
          <w:tcPr>
            <w:tcW w:type="dxa" w:w="1994"/>
          </w:tcPr>
          <w:p>
            <w:r>
              <w:t>iText 2.1.7</w:t>
            </w:r>
          </w:p>
        </w:tc>
      </w:tr>
      <w:tr>
        <w:tc>
          <w:tcPr>
            <w:tcW w:type="dxa" w:w="1994"/>
          </w:tcPr>
          <w:p>
            <w:r>
              <w:t>/Type /Sig</w:t>
            </w:r>
          </w:p>
        </w:tc>
        <w:tc>
          <w:tcPr>
            <w:tcW w:type="dxa" w:w="1994"/>
          </w:tcPr>
          <w:p>
            <w:r>
              <w:t>0</w:t>
            </w:r>
          </w:p>
        </w:tc>
        <w:tc>
          <w:tcPr>
            <w:tcW w:type="dxa" w:w="1994"/>
          </w:tcPr>
          <w:p>
            <w:r>
              <w:t>0</w:t>
            </w:r>
          </w:p>
        </w:tc>
        <w:tc>
          <w:tcPr>
            <w:tcW w:type="dxa" w:w="1994"/>
          </w:tcPr>
          <w:p>
            <w:r>
              <w:t>12</w:t>
            </w:r>
          </w:p>
        </w:tc>
        <w:tc>
          <w:tcPr>
            <w:tcW w:type="dxa" w:w="1994"/>
          </w:tcPr>
          <w:p>
            <w:r>
              <w:t>0</w:t>
            </w:r>
          </w:p>
        </w:tc>
      </w:tr>
      <w:tr>
        <w:tc>
          <w:tcPr>
            <w:tcW w:type="dxa" w:w="1994"/>
          </w:tcPr>
          <w:p>
            <w:r>
              <w:t>AcroForm</w:t>
            </w:r>
          </w:p>
        </w:tc>
        <w:tc>
          <w:tcPr>
            <w:tcW w:type="dxa" w:w="1994"/>
          </w:tcPr>
          <w:p>
            <w:r>
              <w:t>não</w:t>
            </w:r>
          </w:p>
        </w:tc>
        <w:tc>
          <w:tcPr>
            <w:tcW w:type="dxa" w:w="1994"/>
          </w:tcPr>
          <w:p>
            <w:r>
              <w:t>não</w:t>
            </w:r>
          </w:p>
        </w:tc>
        <w:tc>
          <w:tcPr>
            <w:tcW w:type="dxa" w:w="1994"/>
          </w:tcPr>
          <w:p>
            <w:r>
              <w:t>sim</w:t>
            </w:r>
          </w:p>
        </w:tc>
        <w:tc>
          <w:tcPr>
            <w:tcW w:type="dxa" w:w="1994"/>
          </w:tcPr>
          <w:p>
            <w:r>
              <w:t>sim</w:t>
            </w:r>
          </w:p>
        </w:tc>
      </w:tr>
      <w:tr>
        <w:tc>
          <w:tcPr>
            <w:tcW w:type="dxa" w:w="1994"/>
          </w:tcPr>
          <w:p>
            <w:r>
              <w:t>Image XObjects</w:t>
            </w:r>
          </w:p>
        </w:tc>
        <w:tc>
          <w:tcPr>
            <w:tcW w:type="dxa" w:w="1994"/>
          </w:tcPr>
          <w:p>
            <w:r>
              <w:t>0</w:t>
            </w:r>
          </w:p>
        </w:tc>
        <w:tc>
          <w:tcPr>
            <w:tcW w:type="dxa" w:w="1994"/>
          </w:tcPr>
          <w:p>
            <w:r>
              <w:t>3</w:t>
            </w:r>
          </w:p>
        </w:tc>
        <w:tc>
          <w:tcPr>
            <w:tcW w:type="dxa" w:w="1994"/>
          </w:tcPr>
          <w:p>
            <w:r>
              <w:t>97</w:t>
            </w:r>
          </w:p>
        </w:tc>
        <w:tc>
          <w:tcPr>
            <w:tcW w:type="dxa" w:w="1994"/>
          </w:tcPr>
          <w:p>
            <w:r>
              <w:t>9</w:t>
            </w:r>
          </w:p>
        </w:tc>
      </w:tr>
      <w:tr>
        <w:tc>
          <w:tcPr>
            <w:tcW w:type="dxa" w:w="1994"/>
          </w:tcPr>
          <w:p>
            <w:r>
              <w:t>%%EOF</w:t>
            </w:r>
          </w:p>
        </w:tc>
        <w:tc>
          <w:tcPr>
            <w:tcW w:type="dxa" w:w="1994"/>
          </w:tcPr>
          <w:p>
            <w:r>
              <w:t>1</w:t>
            </w:r>
          </w:p>
        </w:tc>
        <w:tc>
          <w:tcPr>
            <w:tcW w:type="dxa" w:w="1994"/>
          </w:tcPr>
          <w:p>
            <w:r>
              <w:t>1</w:t>
            </w:r>
          </w:p>
        </w:tc>
        <w:tc>
          <w:tcPr>
            <w:tcW w:type="dxa" w:w="1994"/>
          </w:tcPr>
          <w:p>
            <w:r>
              <w:t>1</w:t>
            </w:r>
          </w:p>
        </w:tc>
        <w:tc>
          <w:tcPr>
            <w:tcW w:type="dxa" w:w="1994"/>
          </w:tcPr>
          <w:p>
            <w:r>
              <w:t>1</w:t>
            </w:r>
          </w:p>
        </w:tc>
      </w:tr>
      <w:tr>
        <w:tc>
          <w:tcPr>
            <w:tcW w:type="dxa" w:w="1994"/>
          </w:tcPr>
          <w:p>
            <w:r>
              <w:t>Erro xref</w:t>
            </w:r>
          </w:p>
        </w:tc>
        <w:tc>
          <w:tcPr>
            <w:tcW w:type="dxa" w:w="1994"/>
          </w:tcPr>
          <w:p>
            <w:r>
              <w:t>não</w:t>
            </w:r>
          </w:p>
        </w:tc>
        <w:tc>
          <w:tcPr>
            <w:tcW w:type="dxa" w:w="1994"/>
          </w:tcPr>
          <w:p>
            <w:r>
              <w:t>não</w:t>
            </w:r>
          </w:p>
        </w:tc>
        <w:tc>
          <w:tcPr>
            <w:tcW w:type="dxa" w:w="1994"/>
          </w:tcPr>
          <w:p>
            <w:r>
              <w:t>sim</w:t>
            </w:r>
          </w:p>
        </w:tc>
        <w:tc>
          <w:tcPr>
            <w:tcW w:type="dxa" w:w="1994"/>
          </w:tcPr>
          <w:p>
            <w:r>
              <w:t>sim</w:t>
            </w:r>
          </w:p>
        </w:tc>
      </w:tr>
      <w:tr>
        <w:tc>
          <w:tcPr>
            <w:tcW w:type="dxa" w:w="1994"/>
          </w:tcPr>
          <w:p>
            <w:r>
              <w:t>MD5</w:t>
            </w:r>
          </w:p>
        </w:tc>
        <w:tc>
          <w:tcPr>
            <w:tcW w:type="dxa" w:w="1994"/>
          </w:tcPr>
          <w:p>
            <w:r>
              <w:t>ab9bfaa4...67f</w:t>
            </w:r>
          </w:p>
        </w:tc>
        <w:tc>
          <w:tcPr>
            <w:tcW w:type="dxa" w:w="1994"/>
          </w:tcPr>
          <w:p>
            <w:r>
              <w:t>9b97d56f...167</w:t>
            </w:r>
          </w:p>
        </w:tc>
        <w:tc>
          <w:tcPr>
            <w:tcW w:type="dxa" w:w="1994"/>
          </w:tcPr>
          <w:p>
            <w:r>
              <w:t>68b0c336...6e6</w:t>
            </w:r>
          </w:p>
        </w:tc>
        <w:tc>
          <w:tcPr>
            <w:tcW w:type="dxa" w:w="1994"/>
          </w:tcPr>
          <w:p>
            <w:r>
              <w:t>cb5ab43d...c08</w:t>
            </w:r>
          </w:p>
        </w:tc>
      </w:tr>
    </w:tbl>
    <w:p>
      <w:pPr>
        <w:pStyle w:val="Heading1"/>
      </w:pPr>
      <w:r>
        <w:rPr>
          <w:rFonts w:ascii="Helvetica" w:hAnsi="Helvetica"/>
          <w:color w:val="1B3A5B"/>
        </w:rPr>
        <w:t>IV. Sobreposição documental</w:t>
      </w:r>
    </w:p>
    <w:p>
      <w:r>
        <w:rPr>
          <w:rFonts w:ascii="Georgia" w:hAnsi="Georgia"/>
          <w:b/>
          <w:sz w:val="21"/>
        </w:rPr>
        <w:t>Peça 32 ∩ Peça 33: 19 folhas (2543-2561) — duplicação integral (mesmo código eSAJ IpcD5ijV, mesmo protocolo WPIN26700578663, mesma signatária KEZIA).</w:t>
      </w:r>
    </w:p>
    <w:p>
      <w:r>
        <w:rPr>
          <w:rFonts w:ascii="Georgia" w:hAnsi="Georgia"/>
          <w:sz w:val="21"/>
        </w:rPr>
        <w:t>Peça 33 ∩ Peça 35: 1 folha (22) — citação prefacial.</w:t>
      </w:r>
    </w:p>
    <w:p>
      <w:r>
        <w:rPr>
          <w:rFonts w:ascii="Georgia" w:hAnsi="Georgia"/>
          <w:b/>
          <w:sz w:val="21"/>
        </w:rPr>
        <w:t>Peça 35 ∩ Peça 36: 7 folhas (399, 407, 417, 486, 487, 503, 761) — re-extração das folhas-chave do SISBAJUD inicial para sustentar a decisão de 2025.</w:t>
      </w:r>
    </w:p>
    <w:p>
      <w:r>
        <w:rPr>
          <w:rFonts w:ascii="Georgia" w:hAnsi="Georgia"/>
          <w:sz w:val="21"/>
        </w:rPr>
        <w:t>Demais pares: sem interseção.</w:t>
      </w:r>
    </w:p>
    <w:p>
      <w:pPr>
        <w:pStyle w:val="Heading1"/>
      </w:pPr>
      <w:r>
        <w:rPr>
          <w:rFonts w:ascii="Helvetica" w:hAnsi="Helvetica"/>
          <w:color w:val="1B3A5B"/>
        </w:rPr>
        <w:t>V. Análise individual</w:t>
      </w:r>
    </w:p>
    <w:p>
      <w:r>
        <w:rPr>
          <w:rFonts w:ascii="Georgia" w:hAnsi="Georgia"/>
          <w:b/>
          <w:sz w:val="21"/>
        </w:rPr>
        <w:t>PEÇA 32 (19p): fls. 2543-2561 contínuas. Código eSAJ único IpcD5ijV. Signatária KEZIA KARINA GOMES DE MIRANDA. Protocolo WPIN26700578663 em 07/04/2026 às 13:12. MONOLÍTICA, ÍNTEGRA.</w:t>
      </w:r>
    </w:p>
    <w:p>
      <w:r>
        <w:rPr>
          <w:rFonts w:ascii="Georgia" w:hAnsi="Georgia"/>
          <w:b/>
          <w:sz w:val="21"/>
        </w:rPr>
        <w:t>PEÇA 33 (28p): fls. 22 + 2532-2540 + 2543-2561 (29 folhas únicas). DOIS códigos eSAJ: M3dbYMYe (bloco 22-2540) e IpcD5ijV (bloco 2543-2561 — idêntico ao da peça 32). Mesma signatária KEZIA, mesmo protocolo. COMPÓSITA — prefácio + duplicata da peça 32.</w:t>
      </w:r>
    </w:p>
    <w:p>
      <w:r>
        <w:rPr>
          <w:rFonts w:ascii="Georgia" w:hAnsi="Georgia"/>
          <w:b/>
          <w:sz w:val="21"/>
        </w:rPr>
        <w:t>PEÇA 35 (84p): fls. 5-794 (125 folhas únicas) com 34 saltos. 28 códigos eSAJ distintos. 10 signatários (MARIA EUGENIA VIEIRA DE MORAIS, DENISE MENDONCA AIDAR, ELIANE CRISTINA CARVALHO, GISELLE LOURENCO CANTAGALLO, KARINA CUTOLO MIRANDA, LARISSA MARTINS MATSUMOTO, MARCIA TESSITORE, PRISCILLA LIMENA, RENATA BARROS SOUTO MAIOR BAIAO, ROSA OKAZAKI). 6 protocolos WPIN distintos entre 29/05/2023 e 14/07/2023 (período SISBAJUD inicial). 12 assinaturas /Type /Sig embarcadas.</w:t>
      </w:r>
    </w:p>
    <w:p>
      <w:r>
        <w:rPr>
          <w:rFonts w:ascii="Georgia" w:hAnsi="Georgia"/>
          <w:b/>
          <w:sz w:val="21"/>
        </w:rPr>
        <w:t>PEÇA 36 (22p): fls. 399-1706 (47 folhas únicas) com 30 saltos. 10 códigos eSAJ. Signatárias ANA CRISTINA WEYNEN CORES e PRISCILLA LIMENA. Protocolo WPIN25700451115 em 25/02/2025 às 16:56. Liberações entre 02/10/2024 e 02/10/2025. Compilação seletiva de páginas-chave da decisão judicial de 25/02/2025.</w:t>
      </w:r>
    </w:p>
    <w:p>
      <w:pPr>
        <w:pStyle w:val="Heading1"/>
      </w:pPr>
      <w:r>
        <w:rPr>
          <w:rFonts w:ascii="Helvetica" w:hAnsi="Helvetica"/>
          <w:color w:val="1B3A5B"/>
        </w:rPr>
        <w:t>VI. Checklist forense</w:t>
      </w:r>
    </w:p>
    <w:p>
      <w:r>
        <w:rPr>
          <w:rFonts w:ascii="Georgia" w:hAnsi="Georgia"/>
          <w:sz w:val="20"/>
        </w:rPr>
        <w:t>• Producer iText 2.1.7 (esperado eSAJ-TJSP): OK em todas</w:t>
      </w:r>
    </w:p>
    <w:p>
      <w:r>
        <w:rPr>
          <w:rFonts w:ascii="Georgia" w:hAnsi="Georgia"/>
          <w:sz w:val="20"/>
        </w:rPr>
        <w:t>• CreationDate == ModDate (sem reedição): OK</w:t>
      </w:r>
    </w:p>
    <w:p>
      <w:r>
        <w:rPr>
          <w:rFonts w:ascii="Georgia" w:hAnsi="Georgia"/>
          <w:sz w:val="20"/>
        </w:rPr>
        <w:t>• Único %%EOF (sem incremental updates): OK</w:t>
      </w:r>
    </w:p>
    <w:p>
      <w:r>
        <w:rPr>
          <w:rFonts w:ascii="Georgia" w:hAnsi="Georgia"/>
          <w:sz w:val="20"/>
        </w:rPr>
        <w:t>• Ausência de JS: OK</w:t>
      </w:r>
    </w:p>
    <w:p>
      <w:r>
        <w:rPr>
          <w:rFonts w:ascii="Georgia" w:hAnsi="Georgia"/>
          <w:sz w:val="20"/>
        </w:rPr>
        <w:t>• Ausência de camadas OCG: OK</w:t>
      </w:r>
    </w:p>
    <w:p>
      <w:r>
        <w:rPr>
          <w:rFonts w:ascii="Georgia" w:hAnsi="Georgia"/>
          <w:sz w:val="20"/>
        </w:rPr>
        <w:t>• Códigos eSAJ presentes (41 distintos no total): OK</w:t>
      </w:r>
    </w:p>
    <w:p>
      <w:r>
        <w:rPr>
          <w:rFonts w:ascii="Georgia" w:hAnsi="Georgia"/>
          <w:sz w:val="20"/>
        </w:rPr>
        <w:t>• Protocolos WPIN consistentes (9 distintos): OK</w:t>
      </w:r>
    </w:p>
    <w:p>
      <w:r>
        <w:rPr>
          <w:rFonts w:ascii="Georgia" w:hAnsi="Georgia"/>
          <w:sz w:val="20"/>
        </w:rPr>
        <w:t>• Assinaturas /Type /Sig embarcadas na peça 35: 12 (esperado para peça compósita)</w:t>
      </w:r>
    </w:p>
    <w:p>
      <w:r>
        <w:rPr>
          <w:rFonts w:ascii="Georgia" w:hAnsi="Georgia"/>
          <w:sz w:val="20"/>
        </w:rPr>
        <w:t>• Saltos de folha: refletem seleção do operador eSAJ, NÃO supressão</w:t>
      </w:r>
    </w:p>
    <w:p>
      <w:r>
        <w:rPr>
          <w:rFonts w:ascii="Georgia" w:hAnsi="Georgia"/>
          <w:sz w:val="20"/>
        </w:rPr>
        <w:t>• Erros de xref nas peças 35 e 36: típico de concatenação eSAJ, NÃO adulteração</w:t>
      </w:r>
    </w:p>
    <w:p>
      <w:pPr>
        <w:pStyle w:val="Heading1"/>
      </w:pPr>
      <w:r>
        <w:rPr>
          <w:rFonts w:ascii="Helvetica" w:hAnsi="Helvetica"/>
          <w:color w:val="1B3A5B"/>
        </w:rPr>
        <w:t>VII. Conclusão pericial</w:t>
      </w:r>
    </w:p>
    <w:p>
      <w:r>
        <w:rPr>
          <w:rFonts w:ascii="Georgia" w:hAnsi="Georgia"/>
          <w:b/>
          <w:sz w:val="21"/>
        </w:rPr>
        <w:t>Integridade técnica preservada nas quatro peças. NÃO HÁ INDÍCIO DE ADULTERAÇÃO posterior à geração eSAJ-TJSP. As sobreposições documentais (19 folhas entre 32 e 33; 7 folhas entre 35 e 36) são duplicações/re-extrações naturais — todos os códigos eSAJ permitem conferência on-line no portal do TJSP. Os saltos de folha refletem extratos seletivos da pasta digital.</w:t>
      </w:r>
    </w:p>
    <w:p>
      <w:pPr>
        <w:pStyle w:val="Heading1"/>
      </w:pPr>
      <w:r>
        <w:rPr>
          <w:rFonts w:ascii="Helvetica" w:hAnsi="Helvetica"/>
          <w:color w:val="1B3A5B"/>
        </w:rPr>
        <w:t>VIII. Pedidos consequentes</w:t>
      </w:r>
    </w:p>
    <w:p>
      <w:r>
        <w:rPr>
          <w:rFonts w:ascii="Georgia" w:hAnsi="Georgia"/>
          <w:sz w:val="21"/>
        </w:rPr>
        <w:t>1. Certificação eSAJ on-line dos 41 códigos catalogados, com ata notarial.</w:t>
      </w:r>
    </w:p>
    <w:p>
      <w:r>
        <w:rPr>
          <w:rFonts w:ascii="Georgia" w:hAnsi="Georgia"/>
          <w:sz w:val="21"/>
        </w:rPr>
        <w:t>2. Requisição ao TJSP-eSAJ do log de geração/download de cada peça (conta, IP, timestamp, seleção).</w:t>
      </w:r>
    </w:p>
    <w:p>
      <w:r>
        <w:rPr>
          <w:rFonts w:ascii="Georgia" w:hAnsi="Georgia"/>
          <w:sz w:val="21"/>
        </w:rPr>
        <w:t>3. Conferência das 12 assinaturas /Type /Sig embarcadas (validação ICP-Brasil).</w:t>
      </w:r>
    </w:p>
    <w:p>
      <w:r>
        <w:rPr>
          <w:rFonts w:ascii="Georgia" w:hAnsi="Georgia"/>
          <w:sz w:val="21"/>
        </w:rPr>
        <w:t>4. Solicitação ao Cartório da pasta digital integral 1-2561 para reconstrução cronológica.</w:t>
      </w:r>
    </w:p>
    <w:p>
      <w:r>
        <w:rPr>
          <w:rFonts w:ascii="Georgia" w:hAnsi="Georgia"/>
          <w:sz w:val="21"/>
        </w:rPr>
        <w:t>5. Se houver peça do STF correlata, remessa em PDF original.</w:t>
      </w:r>
    </w:p>
    <w:p>
      <w:pPr>
        <w:pStyle w:val="Heading1"/>
      </w:pPr>
      <w:r>
        <w:rPr>
          <w:rFonts w:ascii="Helvetica" w:hAnsi="Helvetica"/>
          <w:color w:val="1B3A5B"/>
        </w:rPr>
        <w:t>IX. Nota metodológica</w:t>
      </w:r>
    </w:p>
    <w:p>
      <w:r>
        <w:rPr>
          <w:rFonts w:ascii="Georgia" w:hAnsi="Georgia"/>
          <w:i/>
          <w:sz w:val="21"/>
        </w:rPr>
        <w:t>Parecer técnico de TI forense sob CPC art. 472. Ferramentas pdfinfo/pdftotext/regex Python — reprodutível. Não substitui perícia judicial subscrita. Conversão em peça subscrita por OAB para uso processual. PFs anonimizadas em circulação externa.</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