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RELATÓRIO FORENSE INTEGRADO — VALIDAÇÃO TRI-PHD</w:t>
      </w:r>
    </w:p>
    <w:p>
      <w:pPr>
        <w:jc w:val="center"/>
      </w:pPr>
      <w:r>
        <w:rPr>
          <w:i/>
          <w:sz w:val="20"/>
        </w:rPr>
        <w:t>Autos nº 1006744-58.2026 · Data-base 10.06.2026 · Emissão 11.06.2026</w:t>
        <w:br/>
        <w:t>Validação contábil, jurídica e relatorial — BLACKSWAN V2/V3, PACK69 Master, Parecer Integrado, Denúncia DDM (doc. 11)</w:t>
      </w:r>
    </w:p>
    <w:p>
      <w:pPr>
        <w:pStyle w:val="Heading1"/>
      </w:pPr>
      <w:r>
        <w:rPr>
          <w:color w:val="1A1A1A"/>
        </w:rPr>
        <w:t>1. Objetivo e síntese executiva</w:t>
      </w:r>
    </w:p>
    <w:p>
      <w:pPr>
        <w:jc w:val="both"/>
      </w:pPr>
      <w:r>
        <w:rPr>
          <w:b w:val="0"/>
          <w:i w:val="0"/>
        </w:rPr>
        <w:t>Cinco documentos, três lentes de doutorado, um veredito: o acervo é tecnicamente sólido, juridicamente calibrado e protocolável — condicionado a três providências bloqueantes. O achado central não é um número, é um padrão: cinco estratos temporais de movimentação e retenção patrimonial via SISBAJUD convergem para um único fato continuado — mais de 1.080 dias de inexecução de ordens de bloqueio, em contexto de violência patrimonial doméstica (Lei 11.340/2006, art. 7º, IV) agravado por omissão institucional.</w:t>
      </w:r>
    </w:p>
    <w:p>
      <w:pPr>
        <w:pStyle w:val="Heading1"/>
      </w:pPr>
      <w:r>
        <w:rPr>
          <w:color w:val="1A1A1A"/>
        </w:rPr>
        <w:t>2. Fatos e evidências</w:t>
      </w:r>
    </w:p>
    <w:p>
      <w:pPr>
        <w:pStyle w:val="Heading2"/>
      </w:pPr>
      <w:r>
        <w:rPr>
          <w:color w:val="7A0C0C"/>
        </w:rPr>
        <w:t>2.1. Reconciliação SISBAJUD — as cinco camadas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>
              <w:rPr>
                <w:b/>
              </w:rPr>
              <w:t>Camada</w:t>
            </w:r>
          </w:p>
        </w:tc>
        <w:tc>
          <w:tcPr>
            <w:tcW w:type="dxa" w:w="1930"/>
          </w:tcPr>
          <w:p>
            <w:r>
              <w:rPr>
                <w:b/>
              </w:rPr>
              <w:t>Valor</w:t>
            </w:r>
          </w:p>
        </w:tc>
        <w:tc>
          <w:tcPr>
            <w:tcW w:type="dxa" w:w="1930"/>
          </w:tcPr>
          <w:p>
            <w:r>
              <w:rPr>
                <w:b/>
              </w:rPr>
              <w:t>Natureza</w:t>
            </w:r>
          </w:p>
        </w:tc>
        <w:tc>
          <w:tcPr>
            <w:tcW w:type="dxa" w:w="1930"/>
          </w:tcPr>
          <w:p>
            <w:r>
              <w:rPr>
                <w:b/>
              </w:rPr>
              <w:t>Fonte primária</w:t>
            </w:r>
          </w:p>
        </w:tc>
        <w:tc>
          <w:tcPr>
            <w:tcW w:type="dxa" w:w="1930"/>
          </w:tcPr>
          <w:p>
            <w:r>
              <w:rPr>
                <w:b/>
              </w:rPr>
              <w:t>Validação</w:t>
            </w:r>
          </w:p>
        </w:tc>
      </w:tr>
      <w:tr>
        <w:tc>
          <w:tcPr>
            <w:tcW w:type="dxa" w:w="1930"/>
          </w:tcPr>
          <w:p>
            <w:r>
              <w:t>L1</w:t>
            </w:r>
          </w:p>
        </w:tc>
        <w:tc>
          <w:tcPr>
            <w:tcW w:type="dxa" w:w="1930"/>
          </w:tcPr>
          <w:p>
            <w:r>
              <w:t>R$ 42.413.085,28</w:t>
            </w:r>
          </w:p>
        </w:tc>
        <w:tc>
          <w:tcPr>
            <w:tcW w:type="dxa" w:w="1930"/>
          </w:tcPr>
          <w:p>
            <w:r>
              <w:t>Bloqueio efetivo nominal</w:t>
            </w:r>
          </w:p>
        </w:tc>
        <w:tc>
          <w:tcPr>
            <w:tcW w:type="dxa" w:w="1930"/>
          </w:tcPr>
          <w:p>
            <w:r>
              <w:t>BLACKSWAN V3 Definitivo</w:t>
            </w:r>
          </w:p>
        </w:tc>
        <w:tc>
          <w:tcPr>
            <w:tcW w:type="dxa" w:w="1930"/>
          </w:tcPr>
          <w:p>
            <w:r>
              <w:t>Coerente V2/V3/PACK69</w:t>
            </w:r>
          </w:p>
        </w:tc>
      </w:tr>
      <w:tr>
        <w:tc>
          <w:tcPr>
            <w:tcW w:type="dxa" w:w="1930"/>
          </w:tcPr>
          <w:p>
            <w:r>
              <w:t>L2</w:t>
            </w:r>
          </w:p>
        </w:tc>
        <w:tc>
          <w:tcPr>
            <w:tcW w:type="dxa" w:w="1930"/>
          </w:tcPr>
          <w:p>
            <w:r>
              <w:t>R$ 84.826.170,56</w:t>
            </w:r>
          </w:p>
        </w:tc>
        <w:tc>
          <w:tcPr>
            <w:tcW w:type="dxa" w:w="1930"/>
          </w:tcPr>
          <w:p>
            <w:r>
              <w:t>Bloqueio reiterado (2× L1)</w:t>
            </w:r>
          </w:p>
        </w:tc>
        <w:tc>
          <w:tcPr>
            <w:tcW w:type="dxa" w:w="1930"/>
          </w:tcPr>
          <w:p>
            <w:r>
              <w:t>PACK69 Master</w:t>
            </w:r>
          </w:p>
        </w:tc>
        <w:tc>
          <w:tcPr>
            <w:tcW w:type="dxa" w:w="1930"/>
          </w:tcPr>
          <w:p>
            <w:r>
              <w:t>Aritmética íntegra</w:t>
            </w:r>
          </w:p>
        </w:tc>
      </w:tr>
      <w:tr>
        <w:tc>
          <w:tcPr>
            <w:tcW w:type="dxa" w:w="1930"/>
          </w:tcPr>
          <w:p>
            <w:r>
              <w:t>L3</w:t>
            </w:r>
          </w:p>
        </w:tc>
        <w:tc>
          <w:tcPr>
            <w:tcW w:type="dxa" w:w="1930"/>
          </w:tcPr>
          <w:p>
            <w:r>
              <w:t>R$ 31.892.764,40</w:t>
            </w:r>
          </w:p>
        </w:tc>
        <w:tc>
          <w:tcPr>
            <w:tcW w:type="dxa" w:w="1930"/>
          </w:tcPr>
          <w:p>
            <w:r>
              <w:t>Retidos 33 meses sem destinação</w:t>
            </w:r>
          </w:p>
        </w:tc>
        <w:tc>
          <w:tcPr>
            <w:tcW w:type="dxa" w:w="1930"/>
          </w:tcPr>
          <w:p>
            <w:r>
              <w:t>BLACKSWAN V3 + Parecer Integrado</w:t>
            </w:r>
          </w:p>
        </w:tc>
        <w:tc>
          <w:tcPr>
            <w:tcW w:type="dxa" w:w="1930"/>
          </w:tcPr>
          <w:p>
            <w:r>
              <w:t>Premissa de inexecução continuada — validável</w:t>
            </w:r>
          </w:p>
        </w:tc>
      </w:tr>
      <w:tr>
        <w:tc>
          <w:tcPr>
            <w:tcW w:type="dxa" w:w="1930"/>
          </w:tcPr>
          <w:p>
            <w:r>
              <w:t>L4</w:t>
            </w:r>
          </w:p>
        </w:tc>
        <w:tc>
          <w:tcPr>
            <w:tcW w:type="dxa" w:w="1930"/>
          </w:tcPr>
          <w:p>
            <w:r>
              <w:t>≈ R$ 5.250.000,00</w:t>
            </w:r>
          </w:p>
        </w:tc>
        <w:tc>
          <w:tcPr>
            <w:tcW w:type="dxa" w:w="1930"/>
          </w:tcPr>
          <w:p>
            <w:r>
              <w:t>Transferidos sem ordem judicial específica</w:t>
            </w:r>
          </w:p>
        </w:tc>
        <w:tc>
          <w:tcPr>
            <w:tcW w:type="dxa" w:w="1930"/>
          </w:tcPr>
          <w:p>
            <w:r>
              <w:t>BLACKSWAN V2 Ajaccio/Vino</w:t>
            </w:r>
          </w:p>
        </w:tc>
        <w:tc>
          <w:tcPr>
            <w:tcW w:type="dxa" w:w="1930"/>
          </w:tcPr>
          <w:p>
            <w:r>
              <w:t>Granularidade não auditável — requisitar extratos</w:t>
            </w:r>
          </w:p>
        </w:tc>
      </w:tr>
      <w:tr>
        <w:tc>
          <w:tcPr>
            <w:tcW w:type="dxa" w:w="1930"/>
          </w:tcPr>
          <w:p>
            <w:r>
              <w:t>L5</w:t>
            </w:r>
          </w:p>
        </w:tc>
        <w:tc>
          <w:tcPr>
            <w:tcW w:type="dxa" w:w="1930"/>
          </w:tcPr>
          <w:p>
            <w:r>
              <w:t>R$ 27.799,79</w:t>
            </w:r>
          </w:p>
        </w:tc>
        <w:tc>
          <w:tcPr>
            <w:tcW w:type="dxa" w:w="1930"/>
          </w:tcPr>
          <w:p>
            <w:r>
              <w:t>Movimentação Oslo, 31.03.2026</w:t>
            </w:r>
          </w:p>
        </w:tc>
        <w:tc>
          <w:tcPr>
            <w:tcW w:type="dxa" w:w="1930"/>
          </w:tcPr>
          <w:p>
            <w:r>
              <w:t>Parecer Integrado</w:t>
            </w:r>
          </w:p>
        </w:tc>
        <w:tc>
          <w:tcPr>
            <w:tcW w:type="dxa" w:w="1930"/>
          </w:tcPr>
          <w:p>
            <w:r>
              <w:t>Confirma L2 por amostragem</w:t>
            </w:r>
          </w:p>
        </w:tc>
      </w:tr>
    </w:tbl>
    <w:p/>
    <w:p>
      <w:pPr>
        <w:jc w:val="both"/>
      </w:pPr>
      <w:r>
        <w:rPr>
          <w:b w:val="0"/>
          <w:i/>
        </w:rPr>
        <w:t>Nota metodológica: as camadas não são narrativas concorrentes — são estratos temporais do mesmo padrão. A unidade do achado é a inexecução por 1.080+ dias, não um valor-síntese.</w:t>
      </w:r>
    </w:p>
    <w:p>
      <w:pPr>
        <w:pStyle w:val="Heading2"/>
      </w:pPr>
      <w:r>
        <w:rPr>
          <w:color w:val="7A0C0C"/>
        </w:rPr>
        <w:t>2.2. Questões cadastrais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  <w:t>Item</w:t>
            </w:r>
          </w:p>
        </w:tc>
        <w:tc>
          <w:tcPr>
            <w:tcW w:type="dxa" w:w="3216"/>
          </w:tcPr>
          <w:p>
            <w:r>
              <w:rPr>
                <w:b/>
              </w:rPr>
              <w:t>Estado</w:t>
            </w:r>
          </w:p>
        </w:tc>
        <w:tc>
          <w:tcPr>
            <w:tcW w:type="dxa" w:w="3216"/>
          </w:tcPr>
          <w:p>
            <w:r>
              <w:rPr>
                <w:b/>
              </w:rPr>
              <w:t>Providência</w:t>
            </w:r>
          </w:p>
        </w:tc>
      </w:tr>
      <w:tr>
        <w:tc>
          <w:tcPr>
            <w:tcW w:type="dxa" w:w="3216"/>
          </w:tcPr>
          <w:p>
            <w:r>
              <w:t>CNPJ 17.867.118/0001-14</w:t>
            </w:r>
          </w:p>
        </w:tc>
        <w:tc>
          <w:tcPr>
            <w:tcW w:type="dxa" w:w="3216"/>
          </w:tcPr>
          <w:p>
            <w:r>
              <w:t>Atribuído exclusivamente a Apoio Administrativo Ltda. (conflação sanada)</w:t>
            </w:r>
          </w:p>
        </w:tc>
        <w:tc>
          <w:tcPr>
            <w:tcW w:type="dxa" w:w="3216"/>
          </w:tcPr>
          <w:p>
            <w:r>
              <w:t>Sanado</w:t>
            </w:r>
          </w:p>
        </w:tc>
      </w:tr>
      <w:tr>
        <w:tc>
          <w:tcPr>
            <w:tcW w:type="dxa" w:w="3216"/>
          </w:tcPr>
          <w:p>
            <w:r>
              <w:t>CNPJ de Vila Porto</w:t>
            </w:r>
          </w:p>
        </w:tc>
        <w:tc>
          <w:tcPr>
            <w:tcW w:type="dxa" w:w="3216"/>
          </w:tcPr>
          <w:p>
            <w:r>
              <w:t>Marcado "a confirmar" no documento 11</w:t>
            </w:r>
          </w:p>
        </w:tc>
        <w:tc>
          <w:tcPr>
            <w:tcW w:type="dxa" w:w="3216"/>
          </w:tcPr>
          <w:p>
            <w:r>
              <w:t>BLOQUEANTE — confirmar via RFB/QSA</w:t>
            </w:r>
          </w:p>
        </w:tc>
      </w:tr>
      <w:tr>
        <w:tc>
          <w:tcPr>
            <w:tcW w:type="dxa" w:w="3216"/>
          </w:tcPr>
          <w:p>
            <w:r>
              <w:t>BLACKSWAN V3 — duas versões</w:t>
            </w:r>
          </w:p>
        </w:tc>
        <w:tc>
          <w:tcPr>
            <w:tcW w:type="dxa" w:w="3216"/>
          </w:tcPr>
          <w:p>
            <w:r>
              <w:t>Identidade binária não confirmada</w:t>
            </w:r>
          </w:p>
        </w:tc>
        <w:tc>
          <w:tcPr>
            <w:tcW w:type="dxa" w:w="3216"/>
          </w:tcPr>
          <w:p>
            <w:r>
              <w:t>BLOQUEANTE — nota de unificação</w:t>
            </w:r>
          </w:p>
        </w:tc>
      </w:tr>
    </w:tbl>
    <w:p/>
    <w:p>
      <w:pPr>
        <w:pStyle w:val="Heading1"/>
      </w:pPr>
      <w:r>
        <w:rPr>
          <w:color w:val="1A1A1A"/>
        </w:rPr>
        <w:t>3. Fundamentos legais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  <w:t>Dispositivo</w:t>
            </w:r>
          </w:p>
        </w:tc>
        <w:tc>
          <w:tcPr>
            <w:tcW w:type="dxa" w:w="3216"/>
          </w:tcPr>
          <w:p>
            <w:r>
              <w:rPr>
                <w:b/>
              </w:rPr>
              <w:t>Tese sustentada</w:t>
            </w:r>
          </w:p>
        </w:tc>
        <w:tc>
          <w:tcPr>
            <w:tcW w:type="dxa" w:w="3216"/>
          </w:tcPr>
          <w:p>
            <w:r>
              <w:rPr>
                <w:b/>
              </w:rPr>
              <w:t>Avaliação</w:t>
            </w:r>
          </w:p>
        </w:tc>
      </w:tr>
      <w:tr>
        <w:tc>
          <w:tcPr>
            <w:tcW w:type="dxa" w:w="3216"/>
          </w:tcPr>
          <w:p>
            <w:r>
              <w:t>Lei 11.340/2006, art. 7º, IV</w:t>
            </w:r>
          </w:p>
        </w:tc>
        <w:tc>
          <w:tcPr>
            <w:tcW w:type="dxa" w:w="3216"/>
          </w:tcPr>
          <w:p>
            <w:r>
              <w:t>Violência patrimonial doméstica como eixo</w:t>
            </w:r>
          </w:p>
        </w:tc>
        <w:tc>
          <w:tcPr>
            <w:tcW w:type="dxa" w:w="3216"/>
          </w:tcPr>
          <w:p>
            <w:r>
              <w:t>Firme</w:t>
            </w:r>
          </w:p>
        </w:tc>
      </w:tr>
      <w:tr>
        <w:tc>
          <w:tcPr>
            <w:tcW w:type="dxa" w:w="3216"/>
          </w:tcPr>
          <w:p>
            <w:r>
              <w:t>LMP art. 22-A + Lei 14.550/2023 + Pacote 20.05.2026</w:t>
            </w:r>
          </w:p>
        </w:tc>
        <w:tc>
          <w:tcPr>
            <w:tcW w:type="dxa" w:w="3216"/>
          </w:tcPr>
          <w:p>
            <w:r>
              <w:t>Projeção prospectiva de risco letal (não imputação de tentativa de feminicídio)</w:t>
            </w:r>
          </w:p>
        </w:tc>
        <w:tc>
          <w:tcPr>
            <w:tcW w:type="dxa" w:w="3216"/>
          </w:tcPr>
          <w:p>
            <w:r>
              <w:t>Calibração correta</w:t>
            </w:r>
          </w:p>
        </w:tc>
      </w:tr>
      <w:tr>
        <w:tc>
          <w:tcPr>
            <w:tcW w:type="dxa" w:w="3216"/>
          </w:tcPr>
          <w:p>
            <w:r>
              <w:t>CP — apropriação indébita majorada / peculato</w:t>
            </w:r>
          </w:p>
        </w:tc>
        <w:tc>
          <w:tcPr>
            <w:tcW w:type="dxa" w:w="3216"/>
          </w:tcPr>
          <w:p>
            <w:r>
              <w:t>Movimentações L4 sem ordem específica</w:t>
            </w:r>
          </w:p>
        </w:tc>
        <w:tc>
          <w:tcPr>
            <w:tcW w:type="dxa" w:w="3216"/>
          </w:tcPr>
          <w:p>
            <w:r>
              <w:t>Firme</w:t>
            </w:r>
          </w:p>
        </w:tc>
      </w:tr>
      <w:tr>
        <w:tc>
          <w:tcPr>
            <w:tcW w:type="dxa" w:w="3216"/>
          </w:tcPr>
          <w:p>
            <w:r>
              <w:t>Crimes contra a administração da justiça</w:t>
            </w:r>
          </w:p>
        </w:tc>
        <w:tc>
          <w:tcPr>
            <w:tcW w:type="dxa" w:w="3216"/>
          </w:tcPr>
          <w:p>
            <w:r>
              <w:t>Inexecução continuada de ordens de bloqueio</w:t>
            </w:r>
          </w:p>
        </w:tc>
        <w:tc>
          <w:tcPr>
            <w:tcW w:type="dxa" w:w="3216"/>
          </w:tcPr>
          <w:p>
            <w:r>
              <w:t>Firme</w:t>
            </w:r>
          </w:p>
        </w:tc>
      </w:tr>
      <w:tr>
        <w:tc>
          <w:tcPr>
            <w:tcW w:type="dxa" w:w="3216"/>
          </w:tcPr>
          <w:p>
            <w:r>
              <w:t>Lei 9.455/1997 (tortura)</w:t>
            </w:r>
          </w:p>
        </w:tc>
        <w:tc>
          <w:tcPr>
            <w:tcW w:type="dxa" w:w="3216"/>
          </w:tcPr>
          <w:p>
            <w:r>
              <w:t>Mantida "em tese", com reserva de subsunção</w:t>
            </w:r>
          </w:p>
        </w:tc>
        <w:tc>
          <w:tcPr>
            <w:tcW w:type="dxa" w:w="3216"/>
          </w:tcPr>
          <w:p>
            <w:r>
              <w:t>Explicitar finalidade típica ou recuar para constrangimento ilegal qualificado</w:t>
            </w:r>
          </w:p>
        </w:tc>
      </w:tr>
      <w:tr>
        <w:tc>
          <w:tcPr>
            <w:tcW w:type="dxa" w:w="3216"/>
          </w:tcPr>
          <w:p>
            <w:r>
              <w:t>Resolução CNJ 492/2023</w:t>
            </w:r>
          </w:p>
        </w:tc>
        <w:tc>
          <w:tcPr>
            <w:tcW w:type="dxa" w:w="3216"/>
          </w:tcPr>
          <w:p>
            <w:r>
              <w:t>Perspectiva de gênero; vedação à revitimização; avaliação de risco</w:t>
            </w:r>
          </w:p>
        </w:tc>
        <w:tc>
          <w:tcPr>
            <w:tcW w:type="dxa" w:w="3216"/>
          </w:tcPr>
          <w:p>
            <w:r>
              <w:t>Aplicação correta</w:t>
            </w:r>
          </w:p>
        </w:tc>
      </w:tr>
    </w:tbl>
    <w:p/>
    <w:p>
      <w:pPr>
        <w:pStyle w:val="Heading1"/>
      </w:pPr>
      <w:r>
        <w:rPr>
          <w:color w:val="1A1A1A"/>
        </w:rPr>
        <w:t>4. Análise — vetor duplo</w:t>
      </w:r>
    </w:p>
    <w:p>
      <w:pPr>
        <w:pStyle w:val="Heading2"/>
      </w:pPr>
      <w:r>
        <w:rPr>
          <w:color w:val="7A0C0C"/>
        </w:rPr>
        <w:t>4.1. Como a estrutura funciona</w:t>
      </w:r>
    </w:p>
    <w:p>
      <w:pPr>
        <w:jc w:val="both"/>
      </w:pPr>
      <w:r>
        <w:rPr>
          <w:b w:val="0"/>
          <w:i w:val="0"/>
        </w:rPr>
        <w:t>O efeito prático do padrão documentado é a neutralização da tutela executiva: ordens de bloqueio são formalmente cumpridas (L1, L2) mas os valores permanecem sem destinação (L3) ou são transferidos sem ordem específica (L4), enquanto a passagem do tempo — 33 meses, 1.080+ dias — dilui a rastreabilidade e desloca o ônus de reconstituição para a parte exequente.</w:t>
      </w:r>
    </w:p>
    <w:p>
      <w:pPr>
        <w:pStyle w:val="Heading2"/>
      </w:pPr>
      <w:r>
        <w:rPr>
          <w:color w:val="7A0C0C"/>
        </w:rPr>
        <w:t>4.2. Como se investiga e recupera</w:t>
      </w:r>
    </w:p>
    <w:p>
      <w:pPr>
        <w:jc w:val="both"/>
      </w:pPr>
      <w:r>
        <w:rPr>
          <w:b w:val="0"/>
          <w:i w:val="0"/>
        </w:rPr>
        <w:t>A reversão exige requisição de extratos SISBAJUD camada-por-camada (pedido VII.B), cruzamento com a amostragem temporal L5 (Oslo, 31.03.2026, que confirma L2), individualização dos sete polos concorrentes de responsabilidade e preservação de prova (VII.D). A granularidade de L4 é a lacuna probatória prioritária.</w:t>
      </w:r>
    </w:p>
    <w:p>
      <w:pPr>
        <w:pStyle w:val="Heading2"/>
      </w:pPr>
      <w:r>
        <w:rPr>
          <w:color w:val="7A0C0C"/>
        </w:rPr>
        <w:t>4.3. Confronto de alegações e calibração penal</w:t>
      </w:r>
    </w:p>
    <w:p>
      <w:pPr>
        <w:jc w:val="both"/>
      </w:pPr>
      <w:r>
        <w:rPr>
          <w:b w:val="0"/>
          <w:i w:val="0"/>
        </w:rPr>
        <w:t>(i) Feminicídio — "tentativa de feminicídio existencial" corretamente retirada da imputação; magnitude preservada como projeção prospectiva de risco, com nota explícita "não se imputa". (ii) Tortura — restrita a duas linhas com reserva expressa; a peça final deve explicitar a finalidade típica da Lei 9.455/1997 ou recuar para constrangimento ilegal qualificado. (iii) Conflação cadastral — CNPJ 17.867.118 atribuído só à Apoio Administrativo Ltda.; Vila Porto "a confirmar".</w:t>
      </w:r>
    </w:p>
    <w:p>
      <w:pPr>
        <w:pStyle w:val="Heading2"/>
      </w:pPr>
      <w:r>
        <w:rPr>
          <w:color w:val="7A0C0C"/>
        </w:rPr>
        <w:t>4.4. Polos de responsabilidade</w:t>
      </w:r>
    </w:p>
    <w:p>
      <w:pPr>
        <w:jc w:val="both"/>
      </w:pPr>
      <w:r>
        <w:rPr>
          <w:b w:val="0"/>
          <w:i w:val="0"/>
        </w:rPr>
        <w:t>A arquitetura de sete polos concorrentes é metodologicamente robusta: distingue responsabilidade omissiva institucional, comissiva direta, culposa profissional e solidária reflexa, abrindo simultaneamente as vias cível, criminal, administrativa e disciplinar.</w:t>
      </w:r>
    </w:p>
    <w:p>
      <w:pPr>
        <w:pStyle w:val="Heading1"/>
      </w:pPr>
      <w:r>
        <w:rPr>
          <w:color w:val="1A1A1A"/>
        </w:rPr>
        <w:t>5. Cenários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  <w:t>Cenário</w:t>
            </w:r>
          </w:p>
        </w:tc>
        <w:tc>
          <w:tcPr>
            <w:tcW w:type="dxa" w:w="3216"/>
          </w:tcPr>
          <w:p>
            <w:r>
              <w:rPr>
                <w:b/>
              </w:rPr>
              <w:t>Descrição</w:t>
            </w:r>
          </w:p>
        </w:tc>
        <w:tc>
          <w:tcPr>
            <w:tcW w:type="dxa" w:w="3216"/>
          </w:tcPr>
          <w:p>
            <w:r>
              <w:rPr>
                <w:b/>
              </w:rPr>
              <w:t>Condicionantes</w:t>
            </w:r>
          </w:p>
        </w:tc>
      </w:tr>
      <w:tr>
        <w:tc>
          <w:tcPr>
            <w:tcW w:type="dxa" w:w="3216"/>
          </w:tcPr>
          <w:p>
            <w:r>
              <w:t>Melhor</w:t>
            </w:r>
          </w:p>
        </w:tc>
        <w:tc>
          <w:tcPr>
            <w:tcW w:type="dxa" w:w="3216"/>
          </w:tcPr>
          <w:p>
            <w:r>
              <w:t>Recebimento integral; VII.A–D deferidos; extratos fecham a lacuna L4</w:t>
            </w:r>
          </w:p>
        </w:tc>
        <w:tc>
          <w:tcPr>
            <w:tcW w:type="dxa" w:w="3216"/>
          </w:tcPr>
          <w:p>
            <w:r>
              <w:t>Bloqueantes resolvidas antes do protocolo</w:t>
            </w:r>
          </w:p>
        </w:tc>
      </w:tr>
      <w:tr>
        <w:tc>
          <w:tcPr>
            <w:tcW w:type="dxa" w:w="3216"/>
          </w:tcPr>
          <w:p>
            <w:r>
              <w:t>Provável</w:t>
            </w:r>
          </w:p>
        </w:tc>
        <w:tc>
          <w:tcPr>
            <w:tcW w:type="dxa" w:w="3216"/>
          </w:tcPr>
          <w:p>
            <w:r>
              <w:t>Recebimento com recorte: violência patrimonial e crimes contra a administração da justiça prosperam; tortura desclassificada</w:t>
            </w:r>
          </w:p>
        </w:tc>
        <w:tc>
          <w:tcPr>
            <w:tcW w:type="dxa" w:w="3216"/>
          </w:tcPr>
          <w:p>
            <w:r>
              <w:t>Finalidade típica não explicitada</w:t>
            </w:r>
          </w:p>
        </w:tc>
      </w:tr>
      <w:tr>
        <w:tc>
          <w:tcPr>
            <w:tcW w:type="dxa" w:w="3216"/>
          </w:tcPr>
          <w:p>
            <w:r>
              <w:t>Risco</w:t>
            </w:r>
          </w:p>
        </w:tc>
        <w:tc>
          <w:tcPr>
            <w:tcW w:type="dxa" w:w="3216"/>
          </w:tcPr>
          <w:p>
            <w:r>
              <w:t>Defesa explora incerteza de Vila Porto e versionamento duplo do V3 para arguir imprecisão</w:t>
            </w:r>
          </w:p>
        </w:tc>
        <w:tc>
          <w:tcPr>
            <w:tcW w:type="dxa" w:w="3216"/>
          </w:tcPr>
          <w:p>
            <w:r>
              <w:t>Protocolo antes das bloqueantes</w:t>
            </w:r>
          </w:p>
        </w:tc>
      </w:tr>
    </w:tbl>
    <w:p/>
    <w:p>
      <w:pPr>
        <w:pStyle w:val="Heading1"/>
      </w:pPr>
      <w:r>
        <w:rPr>
          <w:color w:val="1A1A1A"/>
        </w:rPr>
        <w:t>6. Estratégia e timing — três providências bloqueantes</w:t>
      </w:r>
    </w:p>
    <w:p>
      <w:pPr>
        <w:jc w:val="both"/>
      </w:pPr>
      <w:r>
        <w:rPr>
          <w:b w:val="0"/>
          <w:i w:val="0"/>
        </w:rPr>
        <w:t>B1. Confirmação binária do CNPJ de Vila Porto (Comprovante de Inscrição + QSA junto à RFB).</w:t>
      </w:r>
    </w:p>
    <w:p>
      <w:pPr>
        <w:jc w:val="both"/>
      </w:pPr>
      <w:r>
        <w:rPr>
          <w:b w:val="0"/>
          <w:i w:val="0"/>
        </w:rPr>
        <w:t>B2. Nota técnica de unificação das duas versões do BLACKSWAN V3, fixando a versão prevalente.</w:t>
      </w:r>
    </w:p>
    <w:p>
      <w:pPr>
        <w:jc w:val="both"/>
      </w:pPr>
      <w:r>
        <w:rPr>
          <w:b w:val="0"/>
          <w:i w:val="0"/>
        </w:rPr>
        <w:t>B3. Explicitação da finalidade típica da tortura — ou recuo fundamentado para constrangimento ilegal qualificado.</w:t>
      </w:r>
    </w:p>
    <w:p>
      <w:pPr>
        <w:jc w:val="both"/>
      </w:pPr>
      <w:r>
        <w:rPr>
          <w:b w:val="0"/>
          <w:i w:val="0"/>
        </w:rPr>
        <w:t>Resolvidas as bloqueantes, o protocolo deve ser imediato: cada dia adicional alonga o próprio padrão de inexecução denunciado e a janela de diluição da rastreabilidade de L4.</w:t>
      </w:r>
    </w:p>
    <w:p>
      <w:pPr>
        <w:pStyle w:val="Heading1"/>
      </w:pPr>
      <w:r>
        <w:rPr>
          <w:color w:val="1A1A1A"/>
        </w:rPr>
        <w:t>7. Roteiro de ação</w:t>
      </w:r>
    </w:p>
    <w:p>
      <w:pPr>
        <w:jc w:val="both"/>
      </w:pPr>
      <w:r>
        <w:rPr>
          <w:b w:val="0"/>
          <w:i w:val="0"/>
        </w:rPr>
        <w:t>1. Obter Comprovante de Inscrição e QSA de Vila Porto na RFB; atualizar a tabela cadastral do documento 11 (B1).</w:t>
      </w:r>
    </w:p>
    <w:p>
      <w:pPr>
        <w:jc w:val="both"/>
      </w:pPr>
      <w:r>
        <w:rPr>
          <w:b w:val="0"/>
          <w:i w:val="0"/>
        </w:rPr>
        <w:t>2. Comparar byte a byte as duas versões do BLACKSWAN V3; emitir nota de unificação (B2).</w:t>
      </w:r>
    </w:p>
    <w:p>
      <w:pPr>
        <w:jc w:val="both"/>
      </w:pPr>
      <w:r>
        <w:rPr>
          <w:b w:val="0"/>
          <w:i w:val="0"/>
        </w:rPr>
        <w:t>3. Revisar o bloco "tortura": explicitar finalidade típica ou recuar a capitulação (B3).</w:t>
      </w:r>
    </w:p>
    <w:p>
      <w:pPr>
        <w:jc w:val="both"/>
      </w:pPr>
      <w:r>
        <w:rPr>
          <w:b w:val="0"/>
          <w:i w:val="0"/>
        </w:rPr>
        <w:t>4. Protocolar a denúncia na DDM com os pedidos VII.A (protetivas), VII.B (extratos SISBAJUD camada-por-camada), VII.C (responsabilização institucional, com foro explícito) e VII.D (preservação de prova).</w:t>
      </w:r>
    </w:p>
    <w:p>
      <w:pPr>
        <w:jc w:val="both"/>
      </w:pPr>
      <w:r>
        <w:rPr>
          <w:b w:val="0"/>
          <w:i w:val="0"/>
        </w:rPr>
        <w:t>5. Após deferimento de VII.B, reconciliar os extratos com a tabela L1–L5 e fechar a granularidade de L4.</w:t>
      </w:r>
    </w:p>
    <w:p>
      <w:pPr>
        <w:jc w:val="both"/>
      </w:pPr>
      <w:r>
        <w:rPr>
          <w:b w:val="0"/>
          <w:i w:val="0"/>
        </w:rPr>
        <w:t>6. Distribuir as frentes pelos sete polos — criminal, cível-executiva, administrativa-disciplinar — mantendo o documento 11 como peça-mãe.</w:t>
      </w:r>
    </w:p>
    <w:p>
      <w:pPr>
        <w:pStyle w:val="Heading1"/>
      </w:pPr>
      <w:r>
        <w:rPr>
          <w:color w:val="1A1A1A"/>
        </w:rPr>
        <w:t>Anexo A — Inventário documental validado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  <w:t>Documento</w:t>
            </w:r>
          </w:p>
        </w:tc>
        <w:tc>
          <w:tcPr>
            <w:tcW w:type="dxa" w:w="3216"/>
          </w:tcPr>
          <w:p>
            <w:r>
              <w:rPr>
                <w:b/>
              </w:rPr>
              <w:t>Papel no acervo</w:t>
            </w:r>
          </w:p>
        </w:tc>
        <w:tc>
          <w:tcPr>
            <w:tcW w:type="dxa" w:w="3216"/>
          </w:tcPr>
          <w:p>
            <w:r>
              <w:rPr>
                <w:b/>
              </w:rPr>
              <w:t>Veredito</w:t>
            </w:r>
          </w:p>
        </w:tc>
      </w:tr>
      <w:tr>
        <w:tc>
          <w:tcPr>
            <w:tcW w:type="dxa" w:w="3216"/>
          </w:tcPr>
          <w:p>
            <w:r>
              <w:t>Parecer Técnico-Jurídico Integrado (10.06.2026)</w:t>
            </w:r>
          </w:p>
        </w:tc>
        <w:tc>
          <w:tcPr>
            <w:tcW w:type="dxa" w:w="3216"/>
          </w:tcPr>
          <w:p>
            <w:r>
              <w:t>Peça de consolidação jurídica</w:t>
            </w:r>
          </w:p>
        </w:tc>
        <w:tc>
          <w:tcPr>
            <w:tcW w:type="dxa" w:w="3216"/>
          </w:tcPr>
          <w:p>
            <w:r>
              <w:t>Validado</w:t>
            </w:r>
          </w:p>
        </w:tc>
      </w:tr>
      <w:tr>
        <w:tc>
          <w:tcPr>
            <w:tcW w:type="dxa" w:w="3216"/>
          </w:tcPr>
          <w:p>
            <w:r>
              <w:t>BLACKSWAN V2 — Ajaccio &amp; Vino</w:t>
            </w:r>
          </w:p>
        </w:tc>
        <w:tc>
          <w:tcPr>
            <w:tcW w:type="dxa" w:w="3216"/>
          </w:tcPr>
          <w:p>
            <w:r>
              <w:t>Fonte primária da camada L4</w:t>
            </w:r>
          </w:p>
        </w:tc>
        <w:tc>
          <w:tcPr>
            <w:tcW w:type="dxa" w:w="3216"/>
          </w:tcPr>
          <w:p>
            <w:r>
              <w:t>Validado com ressalva de granularidade</w:t>
            </w:r>
          </w:p>
        </w:tc>
      </w:tr>
      <w:tr>
        <w:tc>
          <w:tcPr>
            <w:tcW w:type="dxa" w:w="3216"/>
          </w:tcPr>
          <w:p>
            <w:r>
              <w:t>BLACKSWAN V3 — Definitivo LMC (2 versões)</w:t>
            </w:r>
          </w:p>
        </w:tc>
        <w:tc>
          <w:tcPr>
            <w:tcW w:type="dxa" w:w="3216"/>
          </w:tcPr>
          <w:p>
            <w:r>
              <w:t>Fonte primária de L1 e L3</w:t>
            </w:r>
          </w:p>
        </w:tc>
        <w:tc>
          <w:tcPr>
            <w:tcW w:type="dxa" w:w="3216"/>
          </w:tcPr>
          <w:p>
            <w:r>
              <w:t>Validado — pendente unificação</w:t>
            </w:r>
          </w:p>
        </w:tc>
      </w:tr>
      <w:tr>
        <w:tc>
          <w:tcPr>
            <w:tcW w:type="dxa" w:w="3216"/>
          </w:tcPr>
          <w:p>
            <w:r>
              <w:t>PACK69 Master — Operação Limoncello</w:t>
            </w:r>
          </w:p>
        </w:tc>
        <w:tc>
          <w:tcPr>
            <w:tcW w:type="dxa" w:w="3216"/>
          </w:tcPr>
          <w:p>
            <w:r>
              <w:t>Fonte primária de L2</w:t>
            </w:r>
          </w:p>
        </w:tc>
        <w:tc>
          <w:tcPr>
            <w:tcW w:type="dxa" w:w="3216"/>
          </w:tcPr>
          <w:p>
            <w:r>
              <w:t>Validado</w:t>
            </w:r>
          </w:p>
        </w:tc>
      </w:tr>
      <w:tr>
        <w:tc>
          <w:tcPr>
            <w:tcW w:type="dxa" w:w="3216"/>
          </w:tcPr>
          <w:p>
            <w:r>
              <w:t>Documento 11 — Denúncia DDM refinada</w:t>
            </w:r>
          </w:p>
        </w:tc>
        <w:tc>
          <w:tcPr>
            <w:tcW w:type="dxa" w:w="3216"/>
          </w:tcPr>
          <w:p>
            <w:r>
              <w:t>Peça-mãe pré-protocolo</w:t>
            </w:r>
          </w:p>
        </w:tc>
        <w:tc>
          <w:tcPr>
            <w:tcW w:type="dxa" w:w="3216"/>
          </w:tcPr>
          <w:p>
            <w:r>
              <w:t>Protocolável após B1–B3</w:t>
            </w:r>
          </w:p>
        </w:tc>
      </w:tr>
    </w:tbl>
    <w:p/>
    <w:p>
      <w:pPr>
        <w:pStyle w:val="Heading1"/>
      </w:pPr>
      <w:r>
        <w:rPr>
          <w:color w:val="1A1A1A"/>
        </w:rPr>
        <w:t>Anexo B — Distinção epistemológica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Categoria</w:t>
            </w:r>
          </w:p>
        </w:tc>
        <w:tc>
          <w:tcPr>
            <w:tcW w:type="dxa" w:w="4824"/>
          </w:tcPr>
          <w:p>
            <w:r>
              <w:rPr>
                <w:b/>
              </w:rPr>
              <w:t>Exemplos no acervo</w:t>
            </w:r>
          </w:p>
        </w:tc>
      </w:tr>
      <w:tr>
        <w:tc>
          <w:tcPr>
            <w:tcW w:type="dxa" w:w="4824"/>
          </w:tcPr>
          <w:p>
            <w:r>
              <w:t>Fato (com fonte)</w:t>
            </w:r>
          </w:p>
        </w:tc>
        <w:tc>
          <w:tcPr>
            <w:tcW w:type="dxa" w:w="4824"/>
          </w:tcPr>
          <w:p>
            <w:r>
              <w:t>Valores L1, L2 e L5; datas das ordens; movimentação Oslo de 31.03.2026</w:t>
            </w:r>
          </w:p>
        </w:tc>
      </w:tr>
      <w:tr>
        <w:tc>
          <w:tcPr>
            <w:tcW w:type="dxa" w:w="4824"/>
          </w:tcPr>
          <w:p>
            <w:r>
              <w:t>Inferência (com base)</w:t>
            </w:r>
          </w:p>
        </w:tc>
        <w:tc>
          <w:tcPr>
            <w:tcW w:type="dxa" w:w="4824"/>
          </w:tcPr>
          <w:p>
            <w:r>
              <w:t>L3 como retenção sem destinação; padrão unificado de 1.080+ dias</w:t>
            </w:r>
          </w:p>
        </w:tc>
      </w:tr>
      <w:tr>
        <w:tc>
          <w:tcPr>
            <w:tcW w:type="dxa" w:w="4824"/>
          </w:tcPr>
          <w:p>
            <w:r>
              <w:t>Tese (com fundamento legal)</w:t>
            </w:r>
          </w:p>
        </w:tc>
        <w:tc>
          <w:tcPr>
            <w:tcW w:type="dxa" w:w="4824"/>
          </w:tcPr>
          <w:p>
            <w:r>
              <w:t>Capitulações penais; sete polos; projeção prospectiva de risco sob LMP 22-A</w:t>
            </w:r>
          </w:p>
        </w:tc>
      </w:tr>
    </w:tbl>
    <w:p/>
    <w:p>
      <w:pPr>
        <w:jc w:val="center"/>
      </w:pPr>
      <w:r>
        <w:rPr>
          <w:i/>
          <w:sz w:val="17"/>
        </w:rPr>
        <w:t>Documento de trabalho para suporte a litígio e recuperação de ativos · Perspectiva neutra/dupla · PF anonimizadas (requerente: M.O.)</w:t>
        <w:br/>
        <w:t>Série DOSSIÊS E NOTAS TÉCNICAS — documento 12 · 11.06.2026</w:t>
      </w:r>
    </w:p>
    <w:sectPr w:rsidR="00FC693F" w:rsidRPr="0006063C" w:rsidSect="00034616">
      <w:pgSz w:w="12240" w:h="15840"/>
      <w:pgMar w:top="1440" w:right="1296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