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PARECER TÉCNICO-FORENSE FINAL — OPERAÇÃO LIMONCELLO</w:t>
      </w:r>
    </w:p>
    <w:p>
      <w:pPr>
        <w:jc w:val="center"/>
      </w:pPr>
      <w:r>
        <w:rPr>
          <w:i/>
          <w:sz w:val="19"/>
        </w:rPr>
        <w:t>Da blindagem mapeada à meação efetivada: a rota técnica de execução do que foi confessado nos autos</w:t>
        <w:br/>
        <w:t>Autos 1006744-58.2023.8.26.0011 · 1ª VF Pinheiros/SP · Data-base 30/05/2023 · Emissão 12/06/2026 · Versão final 1.0</w:t>
        <w:br/>
        <w:t>CPC art. 472 · CF art. 5º LVII · CONFIDENCIAL — uso interno da equipe</w:t>
      </w:r>
    </w:p>
    <w:p>
      <w:pPr>
        <w:pStyle w:val="Heading1"/>
      </w:pPr>
      <w:r>
        <w:rPr>
          <w:color w:val="1A1A1A"/>
        </w:rPr>
        <w:t>I. Síntese executiva</w:t>
      </w:r>
    </w:p>
    <w:p>
      <w:pPr>
        <w:jc w:val="both"/>
      </w:pPr>
      <w:r>
        <w:rPr>
          <w:b w:val="0"/>
          <w:i w:val="0"/>
        </w:rPr>
        <w:t>O patrimônio comum constituído na constância do casamento foi reorganizado, na pendência do litígio, em arquitetura de fundos, holding-veículo, pessoa jurídica pass-through e camada offshore. O Requerido confessou nos autos, às fls. 572 e 575, o vínculo econômico instrumental do veículo e a não-oposição ao bloqueio das cotas. A controvérsia central deixou de ser a comunicabilidade — fato confessado — e passa a ser a rota técnica de efetivação da meação sobre patrimônio já localizado pelo SISBAJUD em maio de 2023.</w:t>
      </w:r>
    </w:p>
    <w:p>
      <w:pPr>
        <w:jc w:val="both"/>
      </w:pPr>
      <w:r>
        <w:rPr>
          <w:b w:val="0"/>
          <w:i w:val="0"/>
        </w:rPr>
        <w:t>A posição financeira identificada em 16/05/2023 foi de R$ 84.856.714,65 em nome do Requerido (fls. 188), composta de R$ 77.640.365,33 em cotas custodiadas na FRAM Capital DTVM (agência 0001, conta 110486) e R$ 3.051.946,65 no BTG Pactual. A ordem de constrição de 23/05/2023 recaiu sobre R$ 42.428.357,32 (fls. 186). O bloqueio total certificado posteriormente nos autos atingiu R$ 52.932.655,22 (fls. 190). A funcionalidade técnica do SISBAJUD foi reconfirmada por ordem de 31/03/2026 em processo desdobrado, com cumprimento integral pelo BTG no valor de R$ 27.799,79 em depósito a prazo (fls. 123 do conexo).</w:t>
      </w:r>
    </w:p>
    <w:p>
      <w:pPr>
        <w:jc w:val="both"/>
      </w:pPr>
      <w:r>
        <w:rPr>
          <w:b w:val="0"/>
          <w:i w:val="0"/>
        </w:rPr>
        <w:t>Decorridos mais de mil dias da constrição original, sem decisão de saneamento (CPC art. 357) e sem exibição da documentação estrutural dos veículos, o objeto deste parecer é converter o conjunto verificado em plano de efetivação por fases.</w:t>
      </w:r>
    </w:p>
    <w:p>
      <w:pPr>
        <w:pStyle w:val="Heading1"/>
      </w:pPr>
      <w:r>
        <w:rPr>
          <w:color w:val="1A1A1A"/>
        </w:rPr>
        <w:t>II. Âncora confessória (fls. 572 e fls. 575)</w:t>
      </w:r>
    </w:p>
    <w:p>
      <w:pPr>
        <w:jc w:val="both"/>
      </w:pPr>
      <w:r>
        <w:rPr>
          <w:b w:val="0"/>
          <w:i/>
        </w:rPr>
        <w:t>fls. 572: "[o FIP] nada mais é do que o veículo por meio do qual Ari detém sua participação na Evino".</w:t>
      </w:r>
    </w:p>
    <w:p>
      <w:pPr>
        <w:jc w:val="both"/>
      </w:pPr>
      <w:r>
        <w:rPr>
          <w:b w:val="0"/>
          <w:i/>
        </w:rPr>
        <w:t>fls. 575: "não se opõe ao bloqueio de suas cotas mantidas junto à FRAM".</w:t>
      </w:r>
    </w:p>
    <w:p>
      <w:pPr>
        <w:jc w:val="both"/>
      </w:pPr>
      <w:r>
        <w:rPr>
          <w:b w:val="0"/>
          <w:i w:val="0"/>
        </w:rPr>
        <w:t>Estes dois trechos integram o eixo confessório do feito. O primeiro reconhece a natureza instrumental do FIP Ajaccio em relação à participação na E-Vino — fato que sustenta, por si, a comunicabilidade pela origem (CC art. 1.660) e a sub-rogação real. O segundo afasta, em definitivo, qualquer alegação futura de iliquidez como impedimento à constrição.</w:t>
      </w:r>
    </w:p>
    <w:p>
      <w:pPr>
        <w:jc w:val="both"/>
      </w:pPr>
      <w:r>
        <w:rPr>
          <w:b/>
          <w:i w:val="0"/>
        </w:rPr>
        <w:t>Fundamento legal: CC art. 212 (confissão como meio de prova) e CPC art. 374, II (independem de prova os fatos confessados). A confissão fixa o quadro probatório e elimina a controvérsia sobre se as cotas e os valores comunicam — restando apenas definir como a meação se efetiva.</w:t>
      </w:r>
    </w:p>
    <w:p>
      <w:pPr>
        <w:pStyle w:val="Heading1"/>
      </w:pPr>
      <w:r>
        <w:rPr>
          <w:color w:val="1A1A1A"/>
        </w:rPr>
        <w:t>III. Cronologia oficial dos autos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Data</w:t>
            </w:r>
          </w:p>
        </w:tc>
        <w:tc>
          <w:tcPr>
            <w:tcW w:type="dxa" w:w="3216"/>
          </w:tcPr>
          <w:p>
            <w:r>
              <w:rPr>
                <w:b/>
              </w:rPr>
              <w:t>Evento</w:t>
            </w:r>
          </w:p>
        </w:tc>
        <w:tc>
          <w:tcPr>
            <w:tcW w:type="dxa" w:w="3216"/>
          </w:tcPr>
          <w:p>
            <w:r>
              <w:rPr>
                <w:b/>
              </w:rPr>
              <w:t>Referência</w:t>
            </w:r>
          </w:p>
        </w:tc>
      </w:tr>
      <w:tr>
        <w:tc>
          <w:tcPr>
            <w:tcW w:type="dxa" w:w="3216"/>
          </w:tcPr>
          <w:p>
            <w:r>
              <w:t>11/08/2012</w:t>
            </w:r>
          </w:p>
        </w:tc>
        <w:tc>
          <w:tcPr>
            <w:tcW w:type="dxa" w:w="3216"/>
          </w:tcPr>
          <w:p>
            <w:r>
              <w:t>Casamento — comunhão parcial</w:t>
            </w:r>
          </w:p>
        </w:tc>
        <w:tc>
          <w:tcPr>
            <w:tcW w:type="dxa" w:w="3216"/>
          </w:tcPr>
          <w:p>
            <w:r>
              <w:t>Matrícula civil 122044</w:t>
            </w:r>
          </w:p>
        </w:tc>
      </w:tr>
      <w:tr>
        <w:tc>
          <w:tcPr>
            <w:tcW w:type="dxa" w:w="3216"/>
          </w:tcPr>
          <w:p>
            <w:r>
              <w:t>18/12/2012</w:t>
            </w:r>
          </w:p>
        </w:tc>
        <w:tc>
          <w:tcPr>
            <w:tcW w:type="dxa" w:w="3216"/>
          </w:tcPr>
          <w:p>
            <w:r>
              <w:t>Constituição da E-Vino S.A.</w:t>
            </w:r>
          </w:p>
        </w:tc>
        <w:tc>
          <w:tcPr>
            <w:tcW w:type="dxa" w:w="3216"/>
          </w:tcPr>
          <w:p>
            <w:r>
              <w:t>JUCESP / CNPJ 17.392.519/0001-65</w:t>
            </w:r>
          </w:p>
        </w:tc>
      </w:tr>
      <w:tr>
        <w:tc>
          <w:tcPr>
            <w:tcW w:type="dxa" w:w="3216"/>
          </w:tcPr>
          <w:p>
            <w:r>
              <w:t>03/04/2013</w:t>
            </w:r>
          </w:p>
        </w:tc>
        <w:tc>
          <w:tcPr>
            <w:tcW w:type="dxa" w:w="3216"/>
          </w:tcPr>
          <w:p>
            <w:r>
              <w:t>Constituição da Ari Gorenstein Apoio Administrativo Ltda. (capital R$ 1.000)</w:t>
            </w:r>
          </w:p>
        </w:tc>
        <w:tc>
          <w:tcPr>
            <w:tcW w:type="dxa" w:w="3216"/>
          </w:tcPr>
          <w:p>
            <w:r>
              <w:t>JUCESP / CNPJ 17.867.118/0001-14</w:t>
            </w:r>
          </w:p>
        </w:tc>
      </w:tr>
      <w:tr>
        <w:tc>
          <w:tcPr>
            <w:tcW w:type="dxa" w:w="3216"/>
          </w:tcPr>
          <w:p>
            <w:r>
              <w:t>03/06/2020</w:t>
            </w:r>
          </w:p>
        </w:tc>
        <w:tc>
          <w:tcPr>
            <w:tcW w:type="dxa" w:w="3216"/>
          </w:tcPr>
          <w:p>
            <w:r>
              <w:t>Constituição do Ajaccio FIP e do FRAM XIV no mesmo dia</w:t>
            </w:r>
          </w:p>
        </w:tc>
        <w:tc>
          <w:tcPr>
            <w:tcW w:type="dxa" w:w="3216"/>
          </w:tcPr>
          <w:p>
            <w:r>
              <w:t>CVM</w:t>
            </w:r>
          </w:p>
        </w:tc>
      </w:tr>
      <w:tr>
        <w:tc>
          <w:tcPr>
            <w:tcW w:type="dxa" w:w="3216"/>
          </w:tcPr>
          <w:p>
            <w:r>
              <w:t>10/12/2021</w:t>
            </w:r>
          </w:p>
        </w:tc>
        <w:tc>
          <w:tcPr>
            <w:tcW w:type="dxa" w:w="3216"/>
          </w:tcPr>
          <w:p>
            <w:r>
              <w:t>Constituição da RT 127 (capital R$ 100, prateleira)</w:t>
            </w:r>
          </w:p>
        </w:tc>
        <w:tc>
          <w:tcPr>
            <w:tcW w:type="dxa" w:w="3216"/>
          </w:tcPr>
          <w:p>
            <w:r>
              <w:t>JUCESP / CNPJ 44.548.365/0001-20</w:t>
            </w:r>
          </w:p>
        </w:tc>
      </w:tr>
      <w:tr>
        <w:tc>
          <w:tcPr>
            <w:tcW w:type="dxa" w:w="3216"/>
          </w:tcPr>
          <w:p>
            <w:r>
              <w:t>31/12/2021</w:t>
            </w:r>
          </w:p>
        </w:tc>
        <w:tc>
          <w:tcPr>
            <w:tcW w:type="dxa" w:w="3216"/>
          </w:tcPr>
          <w:p>
            <w:r>
              <w:t>AGE de cisão E-Vino → RT 127 (R$ 57.181.067,46). Ata registra Requerido em SP às 12h00; documentação migratória o coloca em Miami às 14h56</w:t>
            </w:r>
          </w:p>
        </w:tc>
        <w:tc>
          <w:tcPr>
            <w:tcW w:type="dxa" w:w="3216"/>
          </w:tcPr>
          <w:p>
            <w:r>
              <w:t>Ata AGE / JUCESP</w:t>
            </w:r>
          </w:p>
        </w:tc>
      </w:tr>
      <w:tr>
        <w:tc>
          <w:tcPr>
            <w:tcW w:type="dxa" w:w="3216"/>
          </w:tcPr>
          <w:p>
            <w:r>
              <w:t>25/05/2022</w:t>
            </w:r>
          </w:p>
        </w:tc>
        <w:tc>
          <w:tcPr>
            <w:tcW w:type="dxa" w:w="3216"/>
          </w:tcPr>
          <w:p>
            <w:r>
              <w:t>Acordo de Cotistas do Ajaccio FIP (15 cotistas)</w:t>
            </w:r>
          </w:p>
        </w:tc>
        <w:tc>
          <w:tcPr>
            <w:tcW w:type="dxa" w:w="3216"/>
          </w:tcPr>
          <w:p>
            <w:r>
              <w:t>CVM</w:t>
            </w:r>
          </w:p>
        </w:tc>
      </w:tr>
      <w:tr>
        <w:tc>
          <w:tcPr>
            <w:tcW w:type="dxa" w:w="3216"/>
          </w:tcPr>
          <w:p>
            <w:r>
              <w:t>07/06/2022</w:t>
            </w:r>
          </w:p>
        </w:tc>
        <w:tc>
          <w:tcPr>
            <w:tcW w:type="dxa" w:w="3216"/>
          </w:tcPr>
          <w:p>
            <w:r>
              <w:t>Alienação de ações ON da E-Vino ao Ajaccio FIP (custo R$ 0,01/ação)</w:t>
            </w:r>
          </w:p>
        </w:tc>
        <w:tc>
          <w:tcPr>
            <w:tcW w:type="dxa" w:w="3216"/>
          </w:tcPr>
          <w:p>
            <w:r>
              <w:t>DIRPF AC 2022, fls. 815-820</w:t>
            </w:r>
          </w:p>
        </w:tc>
      </w:tr>
      <w:tr>
        <w:tc>
          <w:tcPr>
            <w:tcW w:type="dxa" w:w="3216"/>
          </w:tcPr>
          <w:p>
            <w:r>
              <w:t>02/05/2023</w:t>
            </w:r>
          </w:p>
        </w:tc>
        <w:tc>
          <w:tcPr>
            <w:tcW w:type="dxa" w:w="3216"/>
          </w:tcPr>
          <w:p>
            <w:r>
              <w:t>Ordem SISBAJUD inicial — bloqueio sobre depósito a prazo</w:t>
            </w:r>
          </w:p>
        </w:tc>
        <w:tc>
          <w:tcPr>
            <w:tcW w:type="dxa" w:w="3216"/>
          </w:tcPr>
          <w:p>
            <w:r>
              <w:t>fls. 418</w:t>
            </w:r>
          </w:p>
        </w:tc>
      </w:tr>
      <w:tr>
        <w:tc>
          <w:tcPr>
            <w:tcW w:type="dxa" w:w="3216"/>
          </w:tcPr>
          <w:p>
            <w:r>
              <w:t>16/05/2023</w:t>
            </w:r>
          </w:p>
        </w:tc>
        <w:tc>
          <w:tcPr>
            <w:tcW w:type="dxa" w:w="3216"/>
          </w:tcPr>
          <w:p>
            <w:r>
              <w:t>Reiteração SISBAJUD — saldo consolidado R$ 84.856.714,65; FRAM R$ 77.640.365,33 (Ag. 0001, Cta. 110486); BTG R$ 3.051.946,65</w:t>
            </w:r>
          </w:p>
        </w:tc>
        <w:tc>
          <w:tcPr>
            <w:tcW w:type="dxa" w:w="3216"/>
          </w:tcPr>
          <w:p>
            <w:r>
              <w:t>fls. 188</w:t>
            </w:r>
          </w:p>
        </w:tc>
      </w:tr>
      <w:tr>
        <w:tc>
          <w:tcPr>
            <w:tcW w:type="dxa" w:w="3216"/>
          </w:tcPr>
          <w:p>
            <w:r>
              <w:t>23/05/2023</w:t>
            </w:r>
          </w:p>
        </w:tc>
        <w:tc>
          <w:tcPr>
            <w:tcW w:type="dxa" w:w="3216"/>
          </w:tcPr>
          <w:p>
            <w:r>
              <w:t>Ordem de bloqueio R$ 42.428.357,32; bloqueio efetivo + reiterações R$ 10.503.164,01</w:t>
            </w:r>
          </w:p>
        </w:tc>
        <w:tc>
          <w:tcPr>
            <w:tcW w:type="dxa" w:w="3216"/>
          </w:tcPr>
          <w:p>
            <w:r>
              <w:t>fls. 186</w:t>
            </w:r>
          </w:p>
        </w:tc>
      </w:tr>
      <w:tr>
        <w:tc>
          <w:tcPr>
            <w:tcW w:type="dxa" w:w="3216"/>
          </w:tcPr>
          <w:p>
            <w:r>
              <w:t>30/05/2023</w:t>
            </w:r>
          </w:p>
        </w:tc>
        <w:tc>
          <w:tcPr>
            <w:tcW w:type="dxa" w:w="3216"/>
          </w:tcPr>
          <w:p>
            <w:r>
              <w:t>Separação de fato — data-base patrimonial</w:t>
            </w:r>
          </w:p>
        </w:tc>
        <w:tc>
          <w:tcPr>
            <w:tcW w:type="dxa" w:w="3216"/>
          </w:tcPr>
          <w:p>
            <w:r>
              <w:t>autos</w:t>
            </w:r>
          </w:p>
        </w:tc>
      </w:tr>
      <w:tr>
        <w:tc>
          <w:tcPr>
            <w:tcW w:type="dxa" w:w="3216"/>
          </w:tcPr>
          <w:p>
            <w:r>
              <w:t>31/05/2023</w:t>
            </w:r>
          </w:p>
        </w:tc>
        <w:tc>
          <w:tcPr>
            <w:tcW w:type="dxa" w:w="3216"/>
          </w:tcPr>
          <w:p>
            <w:r>
              <w:t>Bloqueio de 50% — R$ 42,43 MM (R$ 77,64 MM em cotas FRAM)</w:t>
            </w:r>
          </w:p>
        </w:tc>
        <w:tc>
          <w:tcPr>
            <w:tcW w:type="dxa" w:w="3216"/>
          </w:tcPr>
          <w:p>
            <w:r>
              <w:t>fls. 1013 / AI 2157767-67</w:t>
            </w:r>
          </w:p>
        </w:tc>
      </w:tr>
      <w:tr>
        <w:tc>
          <w:tcPr>
            <w:tcW w:type="dxa" w:w="3216"/>
          </w:tcPr>
          <w:p>
            <w:r>
              <w:t>13/06/2023</w:t>
            </w:r>
          </w:p>
        </w:tc>
        <w:tc>
          <w:tcPr>
            <w:tcW w:type="dxa" w:w="3216"/>
          </w:tcPr>
          <w:p>
            <w:r>
              <w:t>Intimação do Requerido — ciência inequívoca da constrição</w:t>
            </w:r>
          </w:p>
        </w:tc>
        <w:tc>
          <w:tcPr>
            <w:tcW w:type="dxa" w:w="3216"/>
          </w:tcPr>
          <w:p>
            <w:r>
              <w:t>autos</w:t>
            </w:r>
          </w:p>
        </w:tc>
      </w:tr>
      <w:tr>
        <w:tc>
          <w:tcPr>
            <w:tcW w:type="dxa" w:w="3216"/>
          </w:tcPr>
          <w:p>
            <w:r>
              <w:t>05/09/2023</w:t>
            </w:r>
          </w:p>
        </w:tc>
        <w:tc>
          <w:tcPr>
            <w:tcW w:type="dxa" w:w="3216"/>
          </w:tcPr>
          <w:p>
            <w:r>
              <w:t>Distrato da RT 127 — sociedade cancelada; acervo distribuído</w:t>
            </w:r>
          </w:p>
        </w:tc>
        <w:tc>
          <w:tcPr>
            <w:tcW w:type="dxa" w:w="3216"/>
          </w:tcPr>
          <w:p>
            <w:r>
              <w:t>JUCESP doc. 361.506/23-5</w:t>
            </w:r>
          </w:p>
        </w:tc>
      </w:tr>
      <w:tr>
        <w:tc>
          <w:tcPr>
            <w:tcW w:type="dxa" w:w="3216"/>
          </w:tcPr>
          <w:p>
            <w:r>
              <w:t>(data nos autos)</w:t>
            </w:r>
          </w:p>
        </w:tc>
        <w:tc>
          <w:tcPr>
            <w:tcW w:type="dxa" w:w="3216"/>
          </w:tcPr>
          <w:p>
            <w:r>
              <w:t>Bloqueio total certificado: R$ 52.932.655,22</w:t>
            </w:r>
          </w:p>
        </w:tc>
        <w:tc>
          <w:tcPr>
            <w:tcW w:type="dxa" w:w="3216"/>
          </w:tcPr>
          <w:p>
            <w:r>
              <w:t>fls. 190</w:t>
            </w:r>
          </w:p>
        </w:tc>
      </w:tr>
      <w:tr>
        <w:tc>
          <w:tcPr>
            <w:tcW w:type="dxa" w:w="3216"/>
          </w:tcPr>
          <w:p>
            <w:r>
              <w:t>11/02/2025</w:t>
            </w:r>
          </w:p>
        </w:tc>
        <w:tc>
          <w:tcPr>
            <w:tcW w:type="dxa" w:w="3216"/>
          </w:tcPr>
          <w:p>
            <w:r>
              <w:t>Constituição do Bonifácio FIP — fundo-casca; E-Vino marcada a R$ 0,00</w:t>
            </w:r>
          </w:p>
        </w:tc>
        <w:tc>
          <w:tcPr>
            <w:tcW w:type="dxa" w:w="3216"/>
          </w:tcPr>
          <w:p>
            <w:r>
              <w:t>CVM / CNPJ 59.402.540/0001-44</w:t>
            </w:r>
          </w:p>
        </w:tc>
      </w:tr>
      <w:tr>
        <w:tc>
          <w:tcPr>
            <w:tcW w:type="dxa" w:w="3216"/>
          </w:tcPr>
          <w:p>
            <w:r>
              <w:t>28/05/2024</w:t>
            </w:r>
          </w:p>
        </w:tc>
        <w:tc>
          <w:tcPr>
            <w:tcW w:type="dxa" w:w="3216"/>
          </w:tcPr>
          <w:p>
            <w:r>
              <w:t>Rebrand OSLO → FRAM Capital DTVM (CNPJ mantido 13.673.855/0001-25)</w:t>
            </w:r>
          </w:p>
        </w:tc>
        <w:tc>
          <w:tcPr>
            <w:tcW w:type="dxa" w:w="3216"/>
          </w:tcPr>
          <w:p>
            <w:r>
              <w:t>DOU Seção 3 nº 102</w:t>
            </w:r>
          </w:p>
        </w:tc>
      </w:tr>
      <w:tr>
        <w:tc>
          <w:tcPr>
            <w:tcW w:type="dxa" w:w="3216"/>
          </w:tcPr>
          <w:p>
            <w:r>
              <w:t>26/05/2025</w:t>
            </w:r>
          </w:p>
        </w:tc>
        <w:tc>
          <w:tcPr>
            <w:tcW w:type="dxa" w:w="3216"/>
          </w:tcPr>
          <w:p>
            <w:r>
              <w:t>Reestruturação do Ajaccio em 9 subclasses sob RCVM 175/2022</w:t>
            </w:r>
          </w:p>
        </w:tc>
        <w:tc>
          <w:tcPr>
            <w:tcW w:type="dxa" w:w="3216"/>
          </w:tcPr>
          <w:p>
            <w:r>
              <w:t>CVM / FNET</w:t>
            </w:r>
          </w:p>
        </w:tc>
      </w:tr>
      <w:tr>
        <w:tc>
          <w:tcPr>
            <w:tcW w:type="dxa" w:w="3216"/>
          </w:tcPr>
          <w:p>
            <w:r>
              <w:t>Ago/2025</w:t>
            </w:r>
          </w:p>
        </w:tc>
        <w:tc>
          <w:tcPr>
            <w:tcW w:type="dxa" w:w="3216"/>
          </w:tcPr>
          <w:p>
            <w:r>
              <w:t>LOI — patrimônio confessado &gt; R$ 108.000.000,00</w:t>
            </w:r>
          </w:p>
        </w:tc>
        <w:tc>
          <w:tcPr>
            <w:tcW w:type="dxa" w:w="3216"/>
          </w:tcPr>
          <w:p>
            <w:r>
              <w:t>autos</w:t>
            </w:r>
          </w:p>
        </w:tc>
      </w:tr>
      <w:tr>
        <w:tc>
          <w:tcPr>
            <w:tcW w:type="dxa" w:w="3216"/>
          </w:tcPr>
          <w:p>
            <w:r>
              <w:t>31/03/2026</w:t>
            </w:r>
          </w:p>
        </w:tc>
        <w:tc>
          <w:tcPr>
            <w:tcW w:type="dxa" w:w="3216"/>
          </w:tcPr>
          <w:p>
            <w:r>
              <w:t>Nova ordem SISBAJUD (conexo) — BTG cumpre R$ 27.799,79 (cód. 12)</w:t>
            </w:r>
          </w:p>
        </w:tc>
        <w:tc>
          <w:tcPr>
            <w:tcW w:type="dxa" w:w="3216"/>
          </w:tcPr>
          <w:p>
            <w:r>
              <w:t>fls. 123 do conexo</w:t>
            </w:r>
          </w:p>
        </w:tc>
      </w:tr>
      <w:tr>
        <w:tc>
          <w:tcPr>
            <w:tcW w:type="dxa" w:w="3216"/>
          </w:tcPr>
          <w:p>
            <w:r>
              <w:t>05/05/2026</w:t>
            </w:r>
          </w:p>
        </w:tc>
        <w:tc>
          <w:tcPr>
            <w:tcW w:type="dxa" w:w="3216"/>
          </w:tcPr>
          <w:p>
            <w:r>
              <w:t>Atestado psiquiátrico — CID-10 F33+F90+M51.1+S83.5; nexo causal com privação financeira</w:t>
            </w:r>
          </w:p>
        </w:tc>
        <w:tc>
          <w:tcPr>
            <w:tcW w:type="dxa" w:w="3216"/>
          </w:tcPr>
          <w:p>
            <w:r>
              <w:t>atestado anexo</w:t>
            </w:r>
          </w:p>
        </w:tc>
      </w:tr>
      <w:tr>
        <w:tc>
          <w:tcPr>
            <w:tcW w:type="dxa" w:w="3216"/>
          </w:tcPr>
          <w:p>
            <w:r>
              <w:t>07/05/2026</w:t>
            </w:r>
          </w:p>
        </w:tc>
        <w:tc>
          <w:tcPr>
            <w:tcW w:type="dxa" w:w="3216"/>
          </w:tcPr>
          <w:p>
            <w:r>
              <w:t>Manifestação adversa fls. 2880-2892</w:t>
            </w:r>
          </w:p>
        </w:tc>
        <w:tc>
          <w:tcPr>
            <w:tcW w:type="dxa" w:w="3216"/>
          </w:tcPr>
          <w:p>
            <w:r>
              <w:t>autos</w:t>
            </w:r>
          </w:p>
        </w:tc>
      </w:tr>
      <w:tr>
        <w:tc>
          <w:tcPr>
            <w:tcW w:type="dxa" w:w="3216"/>
          </w:tcPr>
          <w:p>
            <w:r>
              <w:t>19/05/2026</w:t>
            </w:r>
          </w:p>
        </w:tc>
        <w:tc>
          <w:tcPr>
            <w:tcW w:type="dxa" w:w="3216"/>
          </w:tcPr>
          <w:p>
            <w:r>
              <w:t>Manifestação Onesti Advogados</w:t>
            </w:r>
          </w:p>
        </w:tc>
        <w:tc>
          <w:tcPr>
            <w:tcW w:type="dxa" w:w="3216"/>
          </w:tcPr>
          <w:p>
            <w:r>
              <w:t>autos</w:t>
            </w:r>
          </w:p>
        </w:tc>
      </w:tr>
    </w:tbl>
    <w:p/>
    <w:p>
      <w:pPr>
        <w:pStyle w:val="Heading1"/>
      </w:pPr>
      <w:r>
        <w:rPr>
          <w:color w:val="1A1A1A"/>
        </w:rPr>
        <w:t>IV. Cadeia patrimonial confirmada — origem das cotas FRAM/Ajaccio</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Elo</w:t>
            </w:r>
          </w:p>
        </w:tc>
        <w:tc>
          <w:tcPr>
            <w:tcW w:type="dxa" w:w="3216"/>
          </w:tcPr>
          <w:p>
            <w:r>
              <w:rPr>
                <w:b/>
              </w:rPr>
              <w:t>Fato verificado</w:t>
            </w:r>
          </w:p>
        </w:tc>
        <w:tc>
          <w:tcPr>
            <w:tcW w:type="dxa" w:w="3216"/>
          </w:tcPr>
          <w:p>
            <w:r>
              <w:rPr>
                <w:b/>
              </w:rPr>
              <w:t>Fonte</w:t>
            </w:r>
          </w:p>
        </w:tc>
      </w:tr>
      <w:tr>
        <w:tc>
          <w:tcPr>
            <w:tcW w:type="dxa" w:w="3216"/>
          </w:tcPr>
          <w:p>
            <w:r>
              <w:t>1</w:t>
            </w:r>
          </w:p>
        </w:tc>
        <w:tc>
          <w:tcPr>
            <w:tcW w:type="dxa" w:w="3216"/>
          </w:tcPr>
          <w:p>
            <w:r>
              <w:t>Ações ON E-Vino (custo R$ 0,01) alienadas ao Ajaccio FIP em 07/06/2022</w:t>
            </w:r>
          </w:p>
        </w:tc>
        <w:tc>
          <w:tcPr>
            <w:tcW w:type="dxa" w:w="3216"/>
          </w:tcPr>
          <w:p>
            <w:r>
              <w:t>DIRPF AC 2022, fls. 815-820 e 948-951</w:t>
            </w:r>
          </w:p>
        </w:tc>
      </w:tr>
      <w:tr>
        <w:tc>
          <w:tcPr>
            <w:tcW w:type="dxa" w:w="3216"/>
          </w:tcPr>
          <w:p>
            <w:r>
              <w:t>2</w:t>
            </w:r>
          </w:p>
        </w:tc>
        <w:tc>
          <w:tcPr>
            <w:tcW w:type="dxa" w:w="3216"/>
          </w:tcPr>
          <w:p>
            <w:r>
              <w:t>Salto patrimonial DIRPF: R$ 8,47 MM (12/2021) → R$ 32,23 MM (12/2022); Classe F R$ 9,53 MM; FRAM XIV R$ 3,88 MM</w:t>
            </w:r>
          </w:p>
        </w:tc>
        <w:tc>
          <w:tcPr>
            <w:tcW w:type="dxa" w:w="3216"/>
          </w:tcPr>
          <w:p>
            <w:r>
              <w:t>DIRPF AC 2022</w:t>
            </w:r>
          </w:p>
        </w:tc>
      </w:tr>
      <w:tr>
        <w:tc>
          <w:tcPr>
            <w:tcW w:type="dxa" w:w="3216"/>
          </w:tcPr>
          <w:p>
            <w:r>
              <w:t>3</w:t>
            </w:r>
          </w:p>
        </w:tc>
        <w:tc>
          <w:tcPr>
            <w:tcW w:type="dxa" w:w="3216"/>
          </w:tcPr>
          <w:p>
            <w:r>
              <w:t>Cisão parcial E-Vino R$ 57.181.067,46 → RT 127 (ata 31/12/2021)</w:t>
            </w:r>
          </w:p>
        </w:tc>
        <w:tc>
          <w:tcPr>
            <w:tcW w:type="dxa" w:w="3216"/>
          </w:tcPr>
          <w:p>
            <w:r>
              <w:t>JUCESP</w:t>
            </w:r>
          </w:p>
        </w:tc>
      </w:tr>
      <w:tr>
        <w:tc>
          <w:tcPr>
            <w:tcW w:type="dxa" w:w="3216"/>
          </w:tcPr>
          <w:p>
            <w:r>
              <w:t>4</w:t>
            </w:r>
          </w:p>
        </w:tc>
        <w:tc>
          <w:tcPr>
            <w:tcW w:type="dxa" w:w="3216"/>
          </w:tcPr>
          <w:p>
            <w:r>
              <w:t>RT 127 circulou Ajaccio → FRAM XIV → PF + offshore</w:t>
            </w:r>
          </w:p>
        </w:tc>
        <w:tc>
          <w:tcPr>
            <w:tcW w:type="dxa" w:w="3216"/>
          </w:tcPr>
          <w:p>
            <w:r>
              <w:t>autos / AI 2157767-67</w:t>
            </w:r>
          </w:p>
        </w:tc>
      </w:tr>
      <w:tr>
        <w:tc>
          <w:tcPr>
            <w:tcW w:type="dxa" w:w="3216"/>
          </w:tcPr>
          <w:p>
            <w:r>
              <w:t>5</w:t>
            </w:r>
          </w:p>
        </w:tc>
        <w:tc>
          <w:tcPr>
            <w:tcW w:type="dxa" w:w="3216"/>
          </w:tcPr>
          <w:p>
            <w:r>
              <w:t>Distrato RT 127 em 05/09/2023, posterior à constrição e à intimação — sociedade cancelada</w:t>
            </w:r>
          </w:p>
        </w:tc>
        <w:tc>
          <w:tcPr>
            <w:tcW w:type="dxa" w:w="3216"/>
          </w:tcPr>
          <w:p>
            <w:r>
              <w:t>JUCESP doc. 361.506/23-5</w:t>
            </w:r>
          </w:p>
        </w:tc>
      </w:tr>
      <w:tr>
        <w:tc>
          <w:tcPr>
            <w:tcW w:type="dxa" w:w="3216"/>
          </w:tcPr>
          <w:p>
            <w:r>
              <w:t>6</w:t>
            </w:r>
          </w:p>
        </w:tc>
        <w:tc>
          <w:tcPr>
            <w:tcW w:type="dxa" w:w="3216"/>
          </w:tcPr>
          <w:p>
            <w:r>
              <w:t>Confissão expressa — fls. 572 (FIP "veículo da participação na Evino") + fls. 575 (não-oposição ao bloqueio)</w:t>
            </w:r>
          </w:p>
        </w:tc>
        <w:tc>
          <w:tcPr>
            <w:tcW w:type="dxa" w:w="3216"/>
          </w:tcPr>
          <w:p>
            <w:r>
              <w:t>autos</w:t>
            </w:r>
          </w:p>
        </w:tc>
      </w:tr>
    </w:tbl>
    <w:p/>
    <w:p>
      <w:pPr>
        <w:pStyle w:val="Heading1"/>
      </w:pPr>
      <w:r>
        <w:rPr>
          <w:color w:val="1A1A1A"/>
        </w:rPr>
        <w:t>V. Arquitetura mapeada — cinco camadas</w:t>
      </w:r>
    </w:p>
    <w:p>
      <w:pPr>
        <w:jc w:val="both"/>
      </w:pPr>
      <w:r>
        <w:rPr>
          <w:b w:val="0"/>
          <w:i w:val="0"/>
        </w:rPr>
        <w:t>L5 REPATRIAÇÃO / OFFSHORE — JP2R PTE LTD (Singapura, UEN 201840728Z) · Anacapri/Brescia/Cetara LLC (Delaware, fev/2025) · Wine in Black GmbH (Munique). Lei 7.492/86 · ACRA s.196A · CTA 2024 / FinCEN BOI.</w:t>
      </w:r>
    </w:p>
    <w:p>
      <w:pPr>
        <w:jc w:val="both"/>
      </w:pPr>
      <w:r>
        <w:rPr>
          <w:b w:val="0"/>
          <w:i w:val="0"/>
        </w:rPr>
        <w:t>L4 CASH-OUT / FUNDOS-CASCA — Bonifácio FIP (CNPJ 59.402.540, 11/02/2025) · VOLIMO FIP (em liquidação) · FRAM XIV (cancelado). CC art. 167 · CPC art. 792 · CPC art. 301.</w:t>
      </w:r>
    </w:p>
    <w:p>
      <w:pPr>
        <w:jc w:val="both"/>
      </w:pPr>
      <w:r>
        <w:rPr>
          <w:b w:val="0"/>
          <w:i w:val="0"/>
        </w:rPr>
        <w:t>L3 MASTER HUB — Ajaccio FIP (CNPJ 37.381.595, PL ≈ R$ 1,41 bi, caixa ≈ R$ 5.812,88) · FRAM Capital DTVM (CNPJ 13.673.855) · Vinci Capital · NANSEN II FIDC-NP. RCVM 175/2022 · CP art. 299.</w:t>
      </w:r>
    </w:p>
    <w:p>
      <w:pPr>
        <w:jc w:val="both"/>
      </w:pPr>
      <w:r>
        <w:rPr>
          <w:b w:val="0"/>
          <w:i w:val="0"/>
        </w:rPr>
        <w:t>L2 LAYERING — Ari Gorenstein Apoio Adm. (pass-through R$ 5,4 MM/ano) · RT 127 (cisão R$ 57,18 MM, distratada) · Interbeverages. Lei 8.137/90 · CTN 116 p.u. · Lei 9.613/98.</w:t>
      </w:r>
    </w:p>
    <w:p>
      <w:pPr>
        <w:jc w:val="both"/>
      </w:pPr>
      <w:r>
        <w:rPr>
          <w:b w:val="0"/>
          <w:i w:val="0"/>
        </w:rPr>
        <w:t>L1 OPERACIONAL (FEEDERS) — E-Vino + Grand Cru + Víssimo + Interbeverages + Agro Syrah · capital social agregado ≈ R$ 784,5 MM. Estoppel bancário: R$ 133+ MM aprovados por 5 instituições (2023-2025). CC art. 50 §2º (cluster Bela Cintra 986).</w:t>
      </w:r>
    </w:p>
    <w:p>
      <w:pPr>
        <w:pStyle w:val="Heading2"/>
      </w:pPr>
      <w:r>
        <w:rPr>
          <w:color w:val="7A0C0C"/>
        </w:rPr>
        <w:t>V.1 Coocorrência endereços-CNPJ-pessoas (CC art. 50, §2º)</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Cluster</w:t>
            </w:r>
          </w:p>
        </w:tc>
        <w:tc>
          <w:tcPr>
            <w:tcW w:type="dxa" w:w="3216"/>
          </w:tcPr>
          <w:p>
            <w:r>
              <w:rPr>
                <w:b/>
              </w:rPr>
              <w:t>Endereço</w:t>
            </w:r>
          </w:p>
        </w:tc>
        <w:tc>
          <w:tcPr>
            <w:tcW w:type="dxa" w:w="3216"/>
          </w:tcPr>
          <w:p>
            <w:r>
              <w:rPr>
                <w:b/>
              </w:rPr>
              <w:t>Entidades coabitantes</w:t>
            </w:r>
          </w:p>
        </w:tc>
      </w:tr>
      <w:tr>
        <w:tc>
          <w:tcPr>
            <w:tcW w:type="dxa" w:w="3216"/>
          </w:tcPr>
          <w:p>
            <w:r>
              <w:t>C1 — Primário</w:t>
            </w:r>
          </w:p>
        </w:tc>
        <w:tc>
          <w:tcPr>
            <w:tcW w:type="dxa" w:w="3216"/>
          </w:tcPr>
          <w:p>
            <w:r>
              <w:t>Rua Bela Cintra, 986, andares 8 e 15 — Consolação/SP</w:t>
            </w:r>
          </w:p>
        </w:tc>
        <w:tc>
          <w:tcPr>
            <w:tcW w:type="dxa" w:w="3216"/>
          </w:tcPr>
          <w:p>
            <w:r>
              <w:t>E-Vino · Agro Syrah · Grand Cru Distribuidora · Interbeverages — telefone/e-mail compartilhados; Agro Syrah usa domínio @grandcru.com.br</w:t>
            </w:r>
          </w:p>
        </w:tc>
      </w:tr>
      <w:tr>
        <w:tc>
          <w:tcPr>
            <w:tcW w:type="dxa" w:w="3216"/>
          </w:tcPr>
          <w:p>
            <w:r>
              <w:t>C2 — Custódia</w:t>
            </w:r>
          </w:p>
        </w:tc>
        <w:tc>
          <w:tcPr>
            <w:tcW w:type="dxa" w:w="3216"/>
          </w:tcPr>
          <w:p>
            <w:r>
              <w:t>Rua Dr. Eduardo de Souza Aranha, 153, 4º andar — V. N. Conceição/SP</w:t>
            </w:r>
          </w:p>
        </w:tc>
        <w:tc>
          <w:tcPr>
            <w:tcW w:type="dxa" w:w="3216"/>
          </w:tcPr>
          <w:p>
            <w:r>
              <w:t>FRAM Capital DTVM · Ajaccio FIP · Bonifácio FIP · FRAM XIV · FRAM Kristian · FRAM Participações</w:t>
            </w:r>
          </w:p>
        </w:tc>
      </w:tr>
      <w:tr>
        <w:tc>
          <w:tcPr>
            <w:tcW w:type="dxa" w:w="3216"/>
          </w:tcPr>
          <w:p>
            <w:r>
              <w:t>C3 — Veículo</w:t>
            </w:r>
          </w:p>
        </w:tc>
        <w:tc>
          <w:tcPr>
            <w:tcW w:type="dxa" w:w="3216"/>
          </w:tcPr>
          <w:p>
            <w:r>
              <w:t>Alameda Santos, 1293, 4º andar — SP</w:t>
            </w:r>
          </w:p>
        </w:tc>
        <w:tc>
          <w:tcPr>
            <w:tcW w:type="dxa" w:w="3216"/>
          </w:tcPr>
          <w:p>
            <w:r>
              <w:t>RT 127 (sede de prateleira)</w:t>
            </w:r>
          </w:p>
        </w:tc>
      </w:tr>
      <w:tr>
        <w:tc>
          <w:tcPr>
            <w:tcW w:type="dxa" w:w="3216"/>
          </w:tcPr>
          <w:p>
            <w:r>
              <w:t>L5 — Offshore</w:t>
            </w:r>
          </w:p>
        </w:tc>
        <w:tc>
          <w:tcPr>
            <w:tcW w:type="dxa" w:w="3216"/>
          </w:tcPr>
          <w:p>
            <w:r>
              <w:t>Robinson Road — Singapura</w:t>
            </w:r>
          </w:p>
        </w:tc>
        <w:tc>
          <w:tcPr>
            <w:tcW w:type="dxa" w:w="3216"/>
          </w:tcPr>
          <w:p>
            <w:r>
              <w:t>JP2R PTE LTD</w:t>
            </w:r>
          </w:p>
        </w:tc>
      </w:tr>
    </w:tbl>
    <w:p/>
    <w:p>
      <w:pPr>
        <w:pStyle w:val="Heading1"/>
      </w:pPr>
      <w:r>
        <w:rPr>
          <w:color w:val="1A1A1A"/>
        </w:rPr>
        <w:t>VI. Tese sanatória — cinco proposições autônomas</w:t>
      </w:r>
    </w:p>
    <w:p>
      <w:pPr>
        <w:jc w:val="both"/>
      </w:pPr>
      <w:r>
        <w:rPr>
          <w:b w:val="0"/>
          <w:i w:val="0"/>
        </w:rPr>
        <w:t>P1 — Comunicabilidade pela origem. Ações de custo simbólico (R$ 0,01) valorizadas na constância integram os aquestos (CC art. 1.660, I). Origem confirmada pela DIRPF AC 2022 (fls. 815-820) e pela confissão de fls. 572 e 575. A iliquidez do veículo não toca a origem comum.</w:t>
      </w:r>
    </w:p>
    <w:p>
      <w:pPr>
        <w:jc w:val="both"/>
      </w:pPr>
      <w:r>
        <w:rPr>
          <w:b w:val="0"/>
          <w:i w:val="0"/>
        </w:rPr>
        <w:t>P2 — Sub-rogação real e indiferença do veículo. Fundo, holding ou SPE não descomunicam. A meação adere ao produto da alienação. A iliquidez posterga a entrega, não o direito. O AI 2157767-67 preservou a constrição. Importa o valor da participação (L1); a negociabilidade da cota (L2) afeta o quando/como, não o se/quanto.</w:t>
      </w:r>
    </w:p>
    <w:p>
      <w:pPr>
        <w:jc w:val="both"/>
      </w:pPr>
      <w:r>
        <w:rPr>
          <w:b w:val="0"/>
          <w:i w:val="0"/>
        </w:rPr>
        <w:t>P3 — Ineficácia dos atos de esvaziamento. A cisão de 31/12/2021, o distrato da RT 127 em 05/09/2023 (na pendência da constrição) e a constituição do Bonifácio FIP em 11/02/2025 são, em tese, atos de fraude à execução (CPC art. 792, V e §1º), com má-fé presumida. O equivalente reingressa no monte. Subsidiariamente: indenização por dilapidação (CC arts. 186 e 927).</w:t>
      </w:r>
    </w:p>
    <w:p>
      <w:pPr>
        <w:jc w:val="both"/>
      </w:pPr>
      <w:r>
        <w:rPr>
          <w:b w:val="0"/>
          <w:i w:val="0"/>
        </w:rPr>
        <w:t>P4 — Dever de informação e exibição. Quem administrou sozinho exibe tudo (CPC arts. 396-404). Recusa = presunção de veracidade (CPC art. 400). Decorridos mais de mil dias, a presunção já é exigível. Distribuição dinâmica do ônus (CPC art. 373, §1º + Res. CNJ 492/2023).</w:t>
      </w:r>
    </w:p>
    <w:p>
      <w:pPr>
        <w:jc w:val="both"/>
      </w:pPr>
      <w:r>
        <w:rPr>
          <w:b w:val="0"/>
          <w:i w:val="0"/>
        </w:rPr>
        <w:t>P5 — Efetivação faseada. Imediato: julgamento parcial (CPC 356, I) + tutela de evidência (CPC 311, II) sobre o líquido. Curto: perícia de valuation com reconciliação. Médio: adjudicação de 50% das cotas, alienação judicial, ou apuração de haveres. Válvula: ofício permanente à FRAM/CVM sob multa (CPC 297/537).</w:t>
      </w:r>
    </w:p>
    <w:p>
      <w:pPr>
        <w:pStyle w:val="Heading1"/>
      </w:pPr>
      <w:r>
        <w:rPr>
          <w:color w:val="1A1A1A"/>
        </w:rPr>
        <w:t>VII. Quantum localizado e cenários</w:t>
      </w:r>
    </w:p>
    <w:p>
      <w:pPr>
        <w:pStyle w:val="Heading2"/>
      </w:pPr>
      <w:r>
        <w:rPr>
          <w:color w:val="7A0C0C"/>
        </w:rPr>
        <w:t>VII.1 Coluna 1 — Ativos localizados (base de pedido)</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t>Item</w:t>
            </w:r>
          </w:p>
        </w:tc>
        <w:tc>
          <w:tcPr>
            <w:tcW w:type="dxa" w:w="2412"/>
          </w:tcPr>
          <w:p>
            <w:r>
              <w:rPr>
                <w:b/>
              </w:rPr>
              <w:t>Valor</w:t>
            </w:r>
          </w:p>
        </w:tc>
        <w:tc>
          <w:tcPr>
            <w:tcW w:type="dxa" w:w="2412"/>
          </w:tcPr>
          <w:p>
            <w:r>
              <w:rPr>
                <w:b/>
              </w:rPr>
              <w:t>Referência</w:t>
            </w:r>
          </w:p>
        </w:tc>
        <w:tc>
          <w:tcPr>
            <w:tcW w:type="dxa" w:w="2412"/>
          </w:tcPr>
          <w:p>
            <w:r>
              <w:rPr>
                <w:b/>
              </w:rPr>
              <w:t>Camada</w:t>
            </w:r>
          </w:p>
        </w:tc>
      </w:tr>
      <w:tr>
        <w:tc>
          <w:tcPr>
            <w:tcW w:type="dxa" w:w="2412"/>
          </w:tcPr>
          <w:p>
            <w:r>
              <w:t>SISBAJUD posição consolidada (16/05/2023)</w:t>
            </w:r>
          </w:p>
        </w:tc>
        <w:tc>
          <w:tcPr>
            <w:tcW w:type="dxa" w:w="2412"/>
          </w:tcPr>
          <w:p>
            <w:r>
              <w:t>R$ 84.856.714,65</w:t>
            </w:r>
          </w:p>
        </w:tc>
        <w:tc>
          <w:tcPr>
            <w:tcW w:type="dxa" w:w="2412"/>
          </w:tcPr>
          <w:p>
            <w:r>
              <w:t>fls. 188</w:t>
            </w:r>
          </w:p>
        </w:tc>
        <w:tc>
          <w:tcPr>
            <w:tcW w:type="dxa" w:w="2412"/>
          </w:tcPr>
          <w:p>
            <w:r>
              <w:t>fotografia-base</w:t>
            </w:r>
          </w:p>
        </w:tc>
      </w:tr>
      <w:tr>
        <w:tc>
          <w:tcPr>
            <w:tcW w:type="dxa" w:w="2412"/>
          </w:tcPr>
          <w:p>
            <w:r>
              <w:t>FRAM Capital DTVM — cotas Ajaccio</w:t>
            </w:r>
          </w:p>
        </w:tc>
        <w:tc>
          <w:tcPr>
            <w:tcW w:type="dxa" w:w="2412"/>
          </w:tcPr>
          <w:p>
            <w:r>
              <w:t>R$ 77.640.365,33</w:t>
            </w:r>
          </w:p>
        </w:tc>
        <w:tc>
          <w:tcPr>
            <w:tcW w:type="dxa" w:w="2412"/>
          </w:tcPr>
          <w:p>
            <w:r>
              <w:t>fls. 188 (Ag. 0001, Cta. 110486)</w:t>
            </w:r>
          </w:p>
        </w:tc>
        <w:tc>
          <w:tcPr>
            <w:tcW w:type="dxa" w:w="2412"/>
          </w:tcPr>
          <w:p>
            <w:r>
              <w:t>L1 — averbação permanente</w:t>
            </w:r>
          </w:p>
        </w:tc>
      </w:tr>
      <w:tr>
        <w:tc>
          <w:tcPr>
            <w:tcW w:type="dxa" w:w="2412"/>
          </w:tcPr>
          <w:p>
            <w:r>
              <w:t>BTG Pactual — posição PF</w:t>
            </w:r>
          </w:p>
        </w:tc>
        <w:tc>
          <w:tcPr>
            <w:tcW w:type="dxa" w:w="2412"/>
          </w:tcPr>
          <w:p>
            <w:r>
              <w:t>R$ 3.051.946,65</w:t>
            </w:r>
          </w:p>
        </w:tc>
        <w:tc>
          <w:tcPr>
            <w:tcW w:type="dxa" w:w="2412"/>
          </w:tcPr>
          <w:p>
            <w:r>
              <w:t>fls. 188</w:t>
            </w:r>
          </w:p>
        </w:tc>
        <w:tc>
          <w:tcPr>
            <w:tcW w:type="dxa" w:w="2412"/>
          </w:tcPr>
          <w:p>
            <w:r>
              <w:t>L2 — liberação executiva</w:t>
            </w:r>
          </w:p>
        </w:tc>
      </w:tr>
      <w:tr>
        <w:tc>
          <w:tcPr>
            <w:tcW w:type="dxa" w:w="2412"/>
          </w:tcPr>
          <w:p>
            <w:r>
              <w:t>Ordem de bloqueio (23/05/2023)</w:t>
            </w:r>
          </w:p>
        </w:tc>
        <w:tc>
          <w:tcPr>
            <w:tcW w:type="dxa" w:w="2412"/>
          </w:tcPr>
          <w:p>
            <w:r>
              <w:t>R$ 42.428.357,32</w:t>
            </w:r>
          </w:p>
        </w:tc>
        <w:tc>
          <w:tcPr>
            <w:tcW w:type="dxa" w:w="2412"/>
          </w:tcPr>
          <w:p>
            <w:r>
              <w:t>fls. 186</w:t>
            </w:r>
          </w:p>
        </w:tc>
        <w:tc>
          <w:tcPr>
            <w:tcW w:type="dxa" w:w="2412"/>
          </w:tcPr>
          <w:p>
            <w:r>
              <w:t>50% do localizado</w:t>
            </w:r>
          </w:p>
        </w:tc>
      </w:tr>
      <w:tr>
        <w:tc>
          <w:tcPr>
            <w:tcW w:type="dxa" w:w="2412"/>
          </w:tcPr>
          <w:p>
            <w:r>
              <w:t>Bloqueio efetivo + reiterações imediatas</w:t>
            </w:r>
          </w:p>
        </w:tc>
        <w:tc>
          <w:tcPr>
            <w:tcW w:type="dxa" w:w="2412"/>
          </w:tcPr>
          <w:p>
            <w:r>
              <w:t>R$ 10.503.164,01</w:t>
            </w:r>
          </w:p>
        </w:tc>
        <w:tc>
          <w:tcPr>
            <w:tcW w:type="dxa" w:w="2412"/>
          </w:tcPr>
          <w:p>
            <w:r>
              <w:t>fls. 186</w:t>
            </w:r>
          </w:p>
        </w:tc>
        <w:tc>
          <w:tcPr>
            <w:tcW w:type="dxa" w:w="2412"/>
          </w:tcPr>
          <w:p>
            <w:r>
              <w:t>L2 imediato</w:t>
            </w:r>
          </w:p>
        </w:tc>
      </w:tr>
      <w:tr>
        <w:tc>
          <w:tcPr>
            <w:tcW w:type="dxa" w:w="2412"/>
          </w:tcPr>
          <w:p>
            <w:r>
              <w:t>Bloqueio total certificado nos autos</w:t>
            </w:r>
          </w:p>
        </w:tc>
        <w:tc>
          <w:tcPr>
            <w:tcW w:type="dxa" w:w="2412"/>
          </w:tcPr>
          <w:p>
            <w:r>
              <w:t>R$ 52.932.655,22</w:t>
            </w:r>
          </w:p>
        </w:tc>
        <w:tc>
          <w:tcPr>
            <w:tcW w:type="dxa" w:w="2412"/>
          </w:tcPr>
          <w:p>
            <w:r>
              <w:t>fls. 190</w:t>
            </w:r>
          </w:p>
        </w:tc>
        <w:tc>
          <w:tcPr>
            <w:tcW w:type="dxa" w:w="2412"/>
          </w:tcPr>
          <w:p>
            <w:r>
              <w:t>retrato executivo</w:t>
            </w:r>
          </w:p>
        </w:tc>
      </w:tr>
      <w:tr>
        <w:tc>
          <w:tcPr>
            <w:tcW w:type="dxa" w:w="2412"/>
          </w:tcPr>
          <w:p>
            <w:r>
              <w:t>SISBAJUD 31/03/2026 — BTG cód. 12</w:t>
            </w:r>
          </w:p>
        </w:tc>
        <w:tc>
          <w:tcPr>
            <w:tcW w:type="dxa" w:w="2412"/>
          </w:tcPr>
          <w:p>
            <w:r>
              <w:t>R$ 27.799,79</w:t>
            </w:r>
          </w:p>
        </w:tc>
        <w:tc>
          <w:tcPr>
            <w:tcW w:type="dxa" w:w="2412"/>
          </w:tcPr>
          <w:p>
            <w:r>
              <w:t>fls. 123 do conexo</w:t>
            </w:r>
          </w:p>
        </w:tc>
        <w:tc>
          <w:tcPr>
            <w:tcW w:type="dxa" w:w="2412"/>
          </w:tcPr>
          <w:p>
            <w:r>
              <w:t>L2 — confirmação técnica</w:t>
            </w:r>
          </w:p>
        </w:tc>
      </w:tr>
      <w:tr>
        <w:tc>
          <w:tcPr>
            <w:tcW w:type="dxa" w:w="2412"/>
          </w:tcPr>
          <w:p>
            <w:r>
              <w:t>Fração Requerido na RT 127</w:t>
            </w:r>
          </w:p>
        </w:tc>
        <w:tc>
          <w:tcPr>
            <w:tcW w:type="dxa" w:w="2412"/>
          </w:tcPr>
          <w:p>
            <w:r>
              <w:t>R$ 4.296.100,43 + frutos</w:t>
            </w:r>
          </w:p>
        </w:tc>
        <w:tc>
          <w:tcPr>
            <w:tcW w:type="dxa" w:w="2412"/>
          </w:tcPr>
          <w:p>
            <w:r>
              <w:t>JUCESP doc. 361.506/23-5</w:t>
            </w:r>
          </w:p>
        </w:tc>
        <w:tc>
          <w:tcPr>
            <w:tcW w:type="dxa" w:w="2412"/>
          </w:tcPr>
          <w:p>
            <w:r>
              <w:t>P3 — reingresso no monte</w:t>
            </w:r>
          </w:p>
        </w:tc>
      </w:tr>
      <w:tr>
        <w:tc>
          <w:tcPr>
            <w:tcW w:type="dxa" w:w="2412"/>
          </w:tcPr>
          <w:p>
            <w:r>
              <w:t>LOI ago/2025 (patrimônio confessado)</w:t>
            </w:r>
          </w:p>
        </w:tc>
        <w:tc>
          <w:tcPr>
            <w:tcW w:type="dxa" w:w="2412"/>
          </w:tcPr>
          <w:p>
            <w:r>
              <w:t>&gt; R$ 108.000.000,00</w:t>
            </w:r>
          </w:p>
        </w:tc>
        <w:tc>
          <w:tcPr>
            <w:tcW w:type="dxa" w:w="2412"/>
          </w:tcPr>
          <w:p>
            <w:r>
              <w:t>autos</w:t>
            </w:r>
          </w:p>
        </w:tc>
        <w:tc>
          <w:tcPr>
            <w:tcW w:type="dxa" w:w="2412"/>
          </w:tcPr>
          <w:p>
            <w:r>
              <w:t>contradiz iliquidez</w:t>
            </w:r>
          </w:p>
        </w:tc>
      </w:tr>
    </w:tbl>
    <w:p/>
    <w:p>
      <w:pPr>
        <w:jc w:val="both"/>
      </w:pPr>
      <w:r>
        <w:rPr>
          <w:b w:val="0"/>
          <w:i/>
        </w:rPr>
        <w:t>Meação sobre cotas FRAM/Ajaccio: teto curto R$ 77,64 MM (≈ R$ 38,82 MM de meação); piso artificial DIRPF 2022 R$ 15,1 MM (≈ R$ 7,55 MM). Número defensável: valor de mercado por perícia independente, com quesitos de reconciliação. O PL bilionário do Ajaccio (marcação a modelo) é memorial estratégico; NÃO é base de pedido.</w:t>
      </w:r>
    </w:p>
    <w:p>
      <w:pPr>
        <w:pStyle w:val="Heading2"/>
      </w:pPr>
      <w:r>
        <w:rPr>
          <w:color w:val="7A0C0C"/>
        </w:rPr>
        <w:t>VII.2 Coluna 2 — Cenários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t>Cenário</w:t>
            </w:r>
          </w:p>
        </w:tc>
        <w:tc>
          <w:tcPr>
            <w:tcW w:type="dxa" w:w="2412"/>
          </w:tcPr>
          <w:p>
            <w:r>
              <w:rPr>
                <w:b/>
              </w:rPr>
              <w:t>Faixa</w:t>
            </w:r>
          </w:p>
        </w:tc>
        <w:tc>
          <w:tcPr>
            <w:tcW w:type="dxa" w:w="2412"/>
          </w:tcPr>
          <w:p>
            <w:r>
              <w:rPr>
                <w:b/>
              </w:rPr>
              <w:t>Horizonte</w:t>
            </w:r>
          </w:p>
        </w:tc>
        <w:tc>
          <w:tcPr>
            <w:tcW w:type="dxa" w:w="2412"/>
          </w:tcPr>
          <w:p>
            <w:r>
              <w:rPr>
                <w:b/>
              </w:rPr>
              <w:t>Condicionantes</w:t>
            </w:r>
          </w:p>
        </w:tc>
      </w:tr>
      <w:tr>
        <w:tc>
          <w:tcPr>
            <w:tcW w:type="dxa" w:w="2412"/>
          </w:tcPr>
          <w:p>
            <w:r>
              <w:t>Melhor</w:t>
            </w:r>
          </w:p>
        </w:tc>
        <w:tc>
          <w:tcPr>
            <w:tcW w:type="dxa" w:w="2412"/>
          </w:tcPr>
          <w:p>
            <w:r>
              <w:t>R$ 40-45 MM+ em cotas + RT 127 + frutos</w:t>
            </w:r>
          </w:p>
        </w:tc>
        <w:tc>
          <w:tcPr>
            <w:tcW w:type="dxa" w:w="2412"/>
          </w:tcPr>
          <w:p>
            <w:r>
              <w:t>12-20 meses</w:t>
            </w:r>
          </w:p>
        </w:tc>
        <w:tc>
          <w:tcPr>
            <w:tcW w:type="dxa" w:w="2412"/>
          </w:tcPr>
          <w:p>
            <w:r>
              <w:t>Recusa de exibição → CPC art. 400; tutela de evidência; adjudicação antes da liquidez</w:t>
            </w:r>
          </w:p>
        </w:tc>
      </w:tr>
      <w:tr>
        <w:tc>
          <w:tcPr>
            <w:tcW w:type="dxa" w:w="2412"/>
          </w:tcPr>
          <w:p>
            <w:r>
              <w:t>Provável</w:t>
            </w:r>
          </w:p>
        </w:tc>
        <w:tc>
          <w:tcPr>
            <w:tcW w:type="dxa" w:w="2412"/>
          </w:tcPr>
          <w:p>
            <w:r>
              <w:t>R$ 20-38 MM em cotas</w:t>
            </w:r>
          </w:p>
        </w:tc>
        <w:tc>
          <w:tcPr>
            <w:tcW w:type="dxa" w:w="2412"/>
          </w:tcPr>
          <w:p>
            <w:r>
              <w:t>24-36 meses</w:t>
            </w:r>
          </w:p>
        </w:tc>
        <w:tc>
          <w:tcPr>
            <w:tcW w:type="dxa" w:w="2412"/>
          </w:tcPr>
          <w:p>
            <w:r>
              <w:t>Evento de liquidez + ofício permanente FRAM/CVM; timing negocial</w:t>
            </w:r>
          </w:p>
        </w:tc>
      </w:tr>
      <w:tr>
        <w:tc>
          <w:tcPr>
            <w:tcW w:type="dxa" w:w="2412"/>
          </w:tcPr>
          <w:p>
            <w:r>
              <w:t>Risco</w:t>
            </w:r>
          </w:p>
        </w:tc>
        <w:tc>
          <w:tcPr>
            <w:tcW w:type="dxa" w:w="2412"/>
          </w:tcPr>
          <w:p>
            <w:r>
              <w:t>R$ 7-15 MM</w:t>
            </w:r>
          </w:p>
        </w:tc>
        <w:tc>
          <w:tcPr>
            <w:tcW w:type="dxa" w:w="2412"/>
          </w:tcPr>
          <w:p>
            <w:r>
              <w:t>variável</w:t>
            </w:r>
          </w:p>
        </w:tc>
        <w:tc>
          <w:tcPr>
            <w:tcW w:type="dxa" w:w="2412"/>
          </w:tcPr>
          <w:p>
            <w:r>
              <w:t>Desconto agressivo de iliquidez; eventual quebra de sigilo da Requerente</w:t>
            </w:r>
          </w:p>
        </w:tc>
      </w:tr>
    </w:tbl>
    <w:p/>
    <w:p>
      <w:pPr>
        <w:pStyle w:val="Heading1"/>
      </w:pPr>
      <w:r>
        <w:rPr>
          <w:color w:val="1A1A1A"/>
        </w:rPr>
        <w:t>VIII. Enquadramento jurídico por esfera — limites de competência</w:t>
      </w:r>
    </w:p>
    <w:p>
      <w:pPr>
        <w:jc w:val="both"/>
      </w:pPr>
      <w:r>
        <w:rPr>
          <w:b w:val="0"/>
          <w:i w:val="0"/>
        </w:rPr>
        <w:t>Cada tipo descrito segue a esfera própria, em estrita observância à presunção de inocência (CF art. 5º, LVII). A vara de família julga partilha e alimentos; o JVDFM, medidas protetivas; a esfera criminal, os tipos. Para a vara cível importa-se padrão hermenêutico, jamais executoriedade de outra esfera.</w:t>
      </w:r>
    </w:p>
    <w:p>
      <w:pPr>
        <w:pStyle w:val="Heading2"/>
      </w:pPr>
      <w:r>
        <w:rPr>
          <w:color w:val="7A0C0C"/>
        </w:rPr>
        <w:t>VIII.1 Núcleo civil-processual (vara de família)</w:t>
      </w:r>
    </w:p>
    <w:tbl>
      <w:tblPr>
        <w:tblStyle w:val="LightGrid-Accent1"/>
        <w:tblW w:type="auto" w:w="0"/>
        <w:tblLook w:firstColumn="1" w:firstRow="1" w:lastColumn="0" w:lastRow="0" w:noHBand="0" w:noVBand="1" w:val="04A0"/>
      </w:tblPr>
      <w:tblGrid>
        <w:gridCol w:w="4824"/>
        <w:gridCol w:w="4824"/>
      </w:tblGrid>
      <w:tr>
        <w:tc>
          <w:tcPr>
            <w:tcW w:type="dxa" w:w="4824"/>
          </w:tcPr>
          <w:p>
            <w:r>
              <w:rPr>
                <w:b/>
              </w:rPr>
              <w:t>Enquadramento</w:t>
            </w:r>
          </w:p>
        </w:tc>
        <w:tc>
          <w:tcPr>
            <w:tcW w:type="dxa" w:w="4824"/>
          </w:tcPr>
          <w:p>
            <w:r>
              <w:rPr>
                <w:b/>
              </w:rPr>
              <w:t>Fundamento</w:t>
            </w:r>
          </w:p>
        </w:tc>
      </w:tr>
      <w:tr>
        <w:tc>
          <w:tcPr>
            <w:tcW w:type="dxa" w:w="4824"/>
          </w:tcPr>
          <w:p>
            <w:r>
              <w:t>Ineficácia relativa perante a meeira + sub-rogação real</w:t>
            </w:r>
          </w:p>
        </w:tc>
        <w:tc>
          <w:tcPr>
            <w:tcW w:type="dxa" w:w="4824"/>
          </w:tcPr>
          <w:p>
            <w:r>
              <w:t>Construção do STJ</w:t>
            </w:r>
          </w:p>
        </w:tc>
      </w:tr>
      <w:tr>
        <w:tc>
          <w:tcPr>
            <w:tcW w:type="dxa" w:w="4824"/>
          </w:tcPr>
          <w:p>
            <w:r>
              <w:t>Fraude à execução em sentido lato</w:t>
            </w:r>
          </w:p>
        </w:tc>
        <w:tc>
          <w:tcPr>
            <w:tcW w:type="dxa" w:w="4824"/>
          </w:tcPr>
          <w:p>
            <w:r>
              <w:t>CPC art. 792, V e §1º</w:t>
            </w:r>
          </w:p>
        </w:tc>
      </w:tr>
      <w:tr>
        <w:tc>
          <w:tcPr>
            <w:tcW w:type="dxa" w:w="4824"/>
          </w:tcPr>
          <w:p>
            <w:r>
              <w:t>Ato atentatório à dignidade da justiça</w:t>
            </w:r>
          </w:p>
        </w:tc>
        <w:tc>
          <w:tcPr>
            <w:tcW w:type="dxa" w:w="4824"/>
          </w:tcPr>
          <w:p>
            <w:r>
              <w:t>CPC art. 77, IV e VI, §§1º-2º — multa até 20%</w:t>
            </w:r>
          </w:p>
        </w:tc>
      </w:tr>
      <w:tr>
        <w:tc>
          <w:tcPr>
            <w:tcW w:type="dxa" w:w="4824"/>
          </w:tcPr>
          <w:p>
            <w:r>
              <w:t>Desconsideração da PJ (inclusive inversa)</w:t>
            </w:r>
          </w:p>
        </w:tc>
        <w:tc>
          <w:tcPr>
            <w:tcW w:type="dxa" w:w="4824"/>
          </w:tcPr>
          <w:p>
            <w:r>
              <w:t>CC art. 50, §2º, I e II</w:t>
            </w:r>
          </w:p>
        </w:tc>
      </w:tr>
      <w:tr>
        <w:tc>
          <w:tcPr>
            <w:tcW w:type="dxa" w:w="4824"/>
          </w:tcPr>
          <w:p>
            <w:r>
              <w:t>Fraude contra credores e simulação relativa</w:t>
            </w:r>
          </w:p>
        </w:tc>
        <w:tc>
          <w:tcPr>
            <w:tcW w:type="dxa" w:w="4824"/>
          </w:tcPr>
          <w:p>
            <w:r>
              <w:t>CC arts. 158-159 e 167</w:t>
            </w:r>
          </w:p>
        </w:tc>
      </w:tr>
      <w:tr>
        <w:tc>
          <w:tcPr>
            <w:tcW w:type="dxa" w:w="4824"/>
          </w:tcPr>
          <w:p>
            <w:r>
              <w:t>Distribuição dinâmica do ônus</w:t>
            </w:r>
          </w:p>
        </w:tc>
        <w:tc>
          <w:tcPr>
            <w:tcW w:type="dxa" w:w="4824"/>
          </w:tcPr>
          <w:p>
            <w:r>
              <w:t>CPC art. 373, §1º + Res. CNJ 492/2023</w:t>
            </w:r>
          </w:p>
        </w:tc>
      </w:tr>
      <w:tr>
        <w:tc>
          <w:tcPr>
            <w:tcW w:type="dxa" w:w="4824"/>
          </w:tcPr>
          <w:p>
            <w:r>
              <w:t>Exibição com cominação</w:t>
            </w:r>
          </w:p>
        </w:tc>
        <w:tc>
          <w:tcPr>
            <w:tcW w:type="dxa" w:w="4824"/>
          </w:tcPr>
          <w:p>
            <w:r>
              <w:t>CPC arts. 396-404 + presunção 400 + astreintes 537</w:t>
            </w:r>
          </w:p>
        </w:tc>
      </w:tr>
    </w:tbl>
    <w:p/>
    <w:p>
      <w:pPr>
        <w:pStyle w:val="Heading2"/>
      </w:pPr>
      <w:r>
        <w:rPr>
          <w:color w:val="7A0C0C"/>
        </w:rPr>
        <w:t>VIII.2 Núcleo penal (sede própria — notícia-crime autônoma)</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Tipo em tese</w:t>
            </w:r>
          </w:p>
        </w:tc>
        <w:tc>
          <w:tcPr>
            <w:tcW w:type="dxa" w:w="3216"/>
          </w:tcPr>
          <w:p>
            <w:r>
              <w:rPr>
                <w:b/>
              </w:rPr>
              <w:t>Fundamento</w:t>
            </w:r>
          </w:p>
        </w:tc>
        <w:tc>
          <w:tcPr>
            <w:tcW w:type="dxa" w:w="3216"/>
          </w:tcPr>
          <w:p>
            <w:r>
              <w:rPr>
                <w:b/>
              </w:rPr>
              <w:t>Base fática</w:t>
            </w:r>
          </w:p>
        </w:tc>
      </w:tr>
      <w:tr>
        <w:tc>
          <w:tcPr>
            <w:tcW w:type="dxa" w:w="3216"/>
          </w:tcPr>
          <w:p>
            <w:r>
              <w:t>Estelionato judiciário</w:t>
            </w:r>
          </w:p>
        </w:tc>
        <w:tc>
          <w:tcPr>
            <w:tcW w:type="dxa" w:w="3216"/>
          </w:tcPr>
          <w:p>
            <w:r>
              <w:t>CP art. 171</w:t>
            </w:r>
          </w:p>
        </w:tc>
        <w:tc>
          <w:tcPr>
            <w:tcW w:type="dxa" w:w="3216"/>
          </w:tcPr>
          <w:p>
            <w:r>
              <w:t>Indução do juízo em erro por simulação de iliquidez</w:t>
            </w:r>
          </w:p>
        </w:tc>
      </w:tr>
      <w:tr>
        <w:tc>
          <w:tcPr>
            <w:tcW w:type="dxa" w:w="3216"/>
          </w:tcPr>
          <w:p>
            <w:r>
              <w:t>Falsidade ideológica em documento societário</w:t>
            </w:r>
          </w:p>
        </w:tc>
        <w:tc>
          <w:tcPr>
            <w:tcW w:type="dxa" w:w="3216"/>
          </w:tcPr>
          <w:p>
            <w:r>
              <w:t>CP art. 299</w:t>
            </w:r>
          </w:p>
        </w:tc>
        <w:tc>
          <w:tcPr>
            <w:tcW w:type="dxa" w:w="3216"/>
          </w:tcPr>
          <w:p>
            <w:r>
              <w:t>Ata AGE 31/12/2021 incompatível com documentação migratória</w:t>
            </w:r>
          </w:p>
        </w:tc>
      </w:tr>
      <w:tr>
        <w:tc>
          <w:tcPr>
            <w:tcW w:type="dxa" w:w="3216"/>
          </w:tcPr>
          <w:p>
            <w:r>
              <w:t>Fraude processual</w:t>
            </w:r>
          </w:p>
        </w:tc>
        <w:tc>
          <w:tcPr>
            <w:tcW w:type="dxa" w:w="3216"/>
          </w:tcPr>
          <w:p>
            <w:r>
              <w:t>CP art. 347</w:t>
            </w:r>
          </w:p>
        </w:tc>
        <w:tc>
          <w:tcPr>
            <w:tcW w:type="dxa" w:w="3216"/>
          </w:tcPr>
          <w:p>
            <w:r>
              <w:t>Inovação artificiosa — reestruturação RCVM 175/2022 em 26/05/2025</w:t>
            </w:r>
          </w:p>
        </w:tc>
      </w:tr>
      <w:tr>
        <w:tc>
          <w:tcPr>
            <w:tcW w:type="dxa" w:w="3216"/>
          </w:tcPr>
          <w:p>
            <w:r>
              <w:t>Lavagem de dinheiro</w:t>
            </w:r>
          </w:p>
        </w:tc>
        <w:tc>
          <w:tcPr>
            <w:tcW w:type="dxa" w:w="3216"/>
          </w:tcPr>
          <w:p>
            <w:r>
              <w:t>Lei 9.613/98 art. 1º (Lei 12.683/2012)</w:t>
            </w:r>
          </w:p>
        </w:tc>
        <w:tc>
          <w:tcPr>
            <w:tcW w:type="dxa" w:w="3216"/>
          </w:tcPr>
          <w:p>
            <w:r>
              <w:t>Placement → layering → integration via Bonifácio + JP2R</w:t>
            </w:r>
          </w:p>
        </w:tc>
      </w:tr>
      <w:tr>
        <w:tc>
          <w:tcPr>
            <w:tcW w:type="dxa" w:w="3216"/>
          </w:tcPr>
          <w:p>
            <w:r>
              <w:t>Crimes contra o SFN</w:t>
            </w:r>
          </w:p>
        </w:tc>
        <w:tc>
          <w:tcPr>
            <w:tcW w:type="dxa" w:w="3216"/>
          </w:tcPr>
          <w:p>
            <w:r>
              <w:t>Lei 7.492/86 art. 22</w:t>
            </w:r>
          </w:p>
        </w:tc>
        <w:tc>
          <w:tcPr>
            <w:tcW w:type="dxa" w:w="3216"/>
          </w:tcPr>
          <w:p>
            <w:r>
              <w:t>UBO não declarado em offshore JP2R</w:t>
            </w:r>
          </w:p>
        </w:tc>
      </w:tr>
    </w:tbl>
    <w:p/>
    <w:p>
      <w:pPr>
        <w:pStyle w:val="Heading2"/>
      </w:pPr>
      <w:r>
        <w:rPr>
          <w:color w:val="7A0C0C"/>
        </w:rPr>
        <w:t>VIII.3 Núcleo protetivo (vetor hermenêutico)</w:t>
      </w:r>
    </w:p>
    <w:tbl>
      <w:tblPr>
        <w:tblStyle w:val="LightGrid-Accent1"/>
        <w:tblW w:type="auto" w:w="0"/>
        <w:tblLook w:firstColumn="1" w:firstRow="1" w:lastColumn="0" w:lastRow="0" w:noHBand="0" w:noVBand="1" w:val="04A0"/>
      </w:tblPr>
      <w:tblGrid>
        <w:gridCol w:w="4824"/>
        <w:gridCol w:w="4824"/>
      </w:tblGrid>
      <w:tr>
        <w:tc>
          <w:tcPr>
            <w:tcW w:type="dxa" w:w="4824"/>
          </w:tcPr>
          <w:p>
            <w:r>
              <w:rPr>
                <w:b/>
              </w:rPr>
              <w:t>Enquadramento</w:t>
            </w:r>
          </w:p>
        </w:tc>
        <w:tc>
          <w:tcPr>
            <w:tcW w:type="dxa" w:w="4824"/>
          </w:tcPr>
          <w:p>
            <w:r>
              <w:rPr>
                <w:b/>
              </w:rPr>
              <w:t>Fundamento</w:t>
            </w:r>
          </w:p>
        </w:tc>
      </w:tr>
      <w:tr>
        <w:tc>
          <w:tcPr>
            <w:tcW w:type="dxa" w:w="4824"/>
          </w:tcPr>
          <w:p>
            <w:r>
              <w:t>Violência patrimonial</w:t>
            </w:r>
          </w:p>
        </w:tc>
        <w:tc>
          <w:tcPr>
            <w:tcW w:type="dxa" w:w="4824"/>
          </w:tcPr>
          <w:p>
            <w:r>
              <w:t>Lei 11.340/2006 art. 7º IV — leitura rigorosa; nexo causal documentado no atestado de 05/05/2026</w:t>
            </w:r>
          </w:p>
        </w:tc>
      </w:tr>
      <w:tr>
        <w:tc>
          <w:tcPr>
            <w:tcW w:type="dxa" w:w="4824"/>
          </w:tcPr>
          <w:p>
            <w:r>
              <w:t>Convenção de Belém do Pará</w:t>
            </w:r>
          </w:p>
        </w:tc>
        <w:tc>
          <w:tcPr>
            <w:tcW w:type="dxa" w:w="4824"/>
          </w:tcPr>
          <w:p>
            <w:r>
              <w:t>art. 7º + Res. CNJ 492/2023</w:t>
            </w:r>
          </w:p>
        </w:tc>
      </w:tr>
      <w:tr>
        <w:tc>
          <w:tcPr>
            <w:tcW w:type="dxa" w:w="4824"/>
          </w:tcPr>
          <w:p>
            <w:r>
              <w:t>Apropriação indébita</w:t>
            </w:r>
          </w:p>
        </w:tc>
        <w:tc>
          <w:tcPr>
            <w:tcW w:type="dxa" w:w="4824"/>
          </w:tcPr>
          <w:p>
            <w:r>
              <w:t>CP art. 168 — retenção de frutos comuns</w:t>
            </w:r>
          </w:p>
        </w:tc>
      </w:tr>
    </w:tbl>
    <w:p/>
    <w:p>
      <w:pPr>
        <w:pStyle w:val="Heading2"/>
      </w:pPr>
      <w:r>
        <w:rPr>
          <w:color w:val="7A0C0C"/>
        </w:rPr>
        <w:t>VIII.4 Núcleo regulatório (mercado de capitais)</w:t>
      </w:r>
    </w:p>
    <w:p>
      <w:pPr>
        <w:jc w:val="both"/>
      </w:pPr>
      <w:r>
        <w:rPr>
          <w:b w:val="0"/>
          <w:i w:val="0"/>
        </w:rPr>
        <w:t>Irregularidade de FIP / regulamento — RCVM 175/2022 art. 39. Representação à CVM e à ANBIMA. Nove versões do regulamento Ajaccio com hashes distintos.</w:t>
      </w:r>
    </w:p>
    <w:p>
      <w:pPr>
        <w:pStyle w:val="Heading1"/>
      </w:pPr>
      <w:r>
        <w:rPr>
          <w:color w:val="1A1A1A"/>
        </w:rPr>
        <w:t>IX. Plano de efetivação por fases</w:t>
      </w:r>
    </w:p>
    <w:p>
      <w:pPr>
        <w:jc w:val="both"/>
      </w:pPr>
      <w:r>
        <w:rPr>
          <w:b w:val="0"/>
          <w:i w:val="0"/>
        </w:rPr>
        <w:t>Fase 0 — dias. Peça única subscrita por OAB: anuência ao desentranhamento de material questionado e substituição por prova subscrita; adesão ao saneamento com rol próprio; oposição proporcional à quebra de sigilo (LC 105/2001); resposta documentada ao tema alimentar. Contratação de perito CRC/CORECON para laudo subscrito. Certidões urgentes: JUCESP (RT 127 + distrato doc. 361.506/23-5); ficha cadastral E-Vino + laudo art. 226 LSA; certidão CVM do Ajaccio FIP e do Bonifácio FIP. Requerimento de liberação executiva da Camada L2, com imputação no acerto final.</w:t>
      </w:r>
    </w:p>
    <w:p>
      <w:pPr>
        <w:jc w:val="both"/>
      </w:pPr>
      <w:r>
        <w:rPr>
          <w:b w:val="0"/>
          <w:i w:val="0"/>
        </w:rPr>
        <w:t>Fase 1 — semanas. Exibição com cominação (CPC art. 400) + astreintes (CPC art. 537); distribuição dinâmica do ônus (CPC art. 373, §1º); quesitos periciais de reconciliação (DIRPF × SISBAJUD × preço do round × PL CVM); ofício permanente FRAM Capital DTVM e CVM exigindo comunicação prévia de evento de liquidez, sob multa.</w:t>
      </w:r>
    </w:p>
    <w:p>
      <w:pPr>
        <w:jc w:val="both"/>
      </w:pPr>
      <w:r>
        <w:rPr>
          <w:b w:val="0"/>
          <w:i w:val="0"/>
        </w:rPr>
        <w:t>Fase 2 — meses. Julgamento parcial do incontroverso (CPC art. 356, I) — comunicabilidade das cotas (confissão) + fração RT 127; incidente de ineficácia do distrato; tutela de evidência (CPC art. 311, II) para transferência de titularidade da fração incontroversa.</w:t>
      </w:r>
    </w:p>
    <w:p>
      <w:pPr>
        <w:jc w:val="both"/>
      </w:pPr>
      <w:r>
        <w:rPr>
          <w:b w:val="0"/>
          <w:i w:val="0"/>
        </w:rPr>
        <w:t>Fase 3 — evento-dependente. Monitoramento de exit ou venda secundária; reserva judicial do produto; negociação estruturada — manter o bloqueio + título parcial + perícia em curso (o tempo corre contra o Requerido).</w:t>
      </w:r>
    </w:p>
    <w:p>
      <w:pPr>
        <w:pStyle w:val="Heading1"/>
      </w:pPr>
      <w:r>
        <w:rPr>
          <w:color w:val="1A1A1A"/>
        </w:rPr>
        <w:t>X. Provocação institucional — vetor × órgão × instrumento × janela</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t>Vetor</w:t>
            </w:r>
          </w:p>
        </w:tc>
        <w:tc>
          <w:tcPr>
            <w:tcW w:type="dxa" w:w="2412"/>
          </w:tcPr>
          <w:p>
            <w:r>
              <w:rPr>
                <w:b/>
              </w:rPr>
              <w:t>Órgão</w:t>
            </w:r>
          </w:p>
        </w:tc>
        <w:tc>
          <w:tcPr>
            <w:tcW w:type="dxa" w:w="2412"/>
          </w:tcPr>
          <w:p>
            <w:r>
              <w:rPr>
                <w:b/>
              </w:rPr>
              <w:t>Instrumento</w:t>
            </w:r>
          </w:p>
        </w:tc>
        <w:tc>
          <w:tcPr>
            <w:tcW w:type="dxa" w:w="2412"/>
          </w:tcPr>
          <w:p>
            <w:r>
              <w:rPr>
                <w:b/>
              </w:rPr>
              <w:t>Janela</w:t>
            </w:r>
          </w:p>
        </w:tc>
      </w:tr>
      <w:tr>
        <w:tc>
          <w:tcPr>
            <w:tcW w:type="dxa" w:w="2412"/>
          </w:tcPr>
          <w:p>
            <w:r>
              <w:t>Exibição documental com presunção</w:t>
            </w:r>
          </w:p>
        </w:tc>
        <w:tc>
          <w:tcPr>
            <w:tcW w:type="dxa" w:w="2412"/>
          </w:tcPr>
          <w:p>
            <w:r>
              <w:t>1ª VF Pinheiros</w:t>
            </w:r>
          </w:p>
        </w:tc>
        <w:tc>
          <w:tcPr>
            <w:tcW w:type="dxa" w:w="2412"/>
          </w:tcPr>
          <w:p>
            <w:r>
              <w:t>CPC arts. 396-404 + cominação 400</w:t>
            </w:r>
          </w:p>
        </w:tc>
        <w:tc>
          <w:tcPr>
            <w:tcW w:type="dxa" w:w="2412"/>
          </w:tcPr>
          <w:p>
            <w:r>
              <w:t>imediata</w:t>
            </w:r>
          </w:p>
        </w:tc>
      </w:tr>
      <w:tr>
        <w:tc>
          <w:tcPr>
            <w:tcW w:type="dxa" w:w="2412"/>
          </w:tcPr>
          <w:p>
            <w:r>
              <w:t>Ineficácia do distrato RT 127</w:t>
            </w:r>
          </w:p>
        </w:tc>
        <w:tc>
          <w:tcPr>
            <w:tcW w:type="dxa" w:w="2412"/>
          </w:tcPr>
          <w:p>
            <w:r>
              <w:t>1ª VF Pinheiros</w:t>
            </w:r>
          </w:p>
        </w:tc>
        <w:tc>
          <w:tcPr>
            <w:tcW w:type="dxa" w:w="2412"/>
          </w:tcPr>
          <w:p>
            <w:r>
              <w:t>Incidente / CPC art. 792</w:t>
            </w:r>
          </w:p>
        </w:tc>
        <w:tc>
          <w:tcPr>
            <w:tcW w:type="dxa" w:w="2412"/>
          </w:tcPr>
          <w:p>
            <w:r>
              <w:t>imediata</w:t>
            </w:r>
          </w:p>
        </w:tc>
      </w:tr>
      <w:tr>
        <w:tc>
          <w:tcPr>
            <w:tcW w:type="dxa" w:w="2412"/>
          </w:tcPr>
          <w:p>
            <w:r>
              <w:t>Evento de liquidez do FIP</w:t>
            </w:r>
          </w:p>
        </w:tc>
        <w:tc>
          <w:tcPr>
            <w:tcW w:type="dxa" w:w="2412"/>
          </w:tcPr>
          <w:p>
            <w:r>
              <w:t>FRAM Capital DTVM / CVM</w:t>
            </w:r>
          </w:p>
        </w:tc>
        <w:tc>
          <w:tcPr>
            <w:tcW w:type="dxa" w:w="2412"/>
          </w:tcPr>
          <w:p>
            <w:r>
              <w:t>Ofício permanente sob multa (CPC 297/537)</w:t>
            </w:r>
          </w:p>
        </w:tc>
        <w:tc>
          <w:tcPr>
            <w:tcW w:type="dxa" w:w="2412"/>
          </w:tcPr>
          <w:p>
            <w:r>
              <w:t>dias</w:t>
            </w:r>
          </w:p>
        </w:tc>
      </w:tr>
      <w:tr>
        <w:tc>
          <w:tcPr>
            <w:tcW w:type="dxa" w:w="2412"/>
          </w:tcPr>
          <w:p>
            <w:r>
              <w:t>Irregularidade FIP e fundo-casca</w:t>
            </w:r>
          </w:p>
        </w:tc>
        <w:tc>
          <w:tcPr>
            <w:tcW w:type="dxa" w:w="2412"/>
          </w:tcPr>
          <w:p>
            <w:r>
              <w:t>CVM / ANBIMA</w:t>
            </w:r>
          </w:p>
        </w:tc>
        <w:tc>
          <w:tcPr>
            <w:tcW w:type="dxa" w:w="2412"/>
          </w:tcPr>
          <w:p>
            <w:r>
              <w:t>Representação (RCVM 175/2022)</w:t>
            </w:r>
          </w:p>
        </w:tc>
        <w:tc>
          <w:tcPr>
            <w:tcW w:type="dxa" w:w="2412"/>
          </w:tcPr>
          <w:p>
            <w:r>
              <w:t>semanas</w:t>
            </w:r>
          </w:p>
        </w:tc>
      </w:tr>
      <w:tr>
        <w:tc>
          <w:tcPr>
            <w:tcW w:type="dxa" w:w="2412"/>
          </w:tcPr>
          <w:p>
            <w:r>
              <w:t>Lavagem / offshore / UBO não declarado</w:t>
            </w:r>
          </w:p>
        </w:tc>
        <w:tc>
          <w:tcPr>
            <w:tcW w:type="dxa" w:w="2412"/>
          </w:tcPr>
          <w:p>
            <w:r>
              <w:t>MP / COAF / BACEN</w:t>
            </w:r>
          </w:p>
        </w:tc>
        <w:tc>
          <w:tcPr>
            <w:tcW w:type="dxa" w:w="2412"/>
          </w:tcPr>
          <w:p>
            <w:r>
              <w:t>Notícia-crime autônoma (Lei 9.613/98; 7.492/86)</w:t>
            </w:r>
          </w:p>
        </w:tc>
        <w:tc>
          <w:tcPr>
            <w:tcW w:type="dxa" w:w="2412"/>
          </w:tcPr>
          <w:p>
            <w:r>
              <w:t>semanas</w:t>
            </w:r>
          </w:p>
        </w:tc>
      </w:tr>
      <w:tr>
        <w:tc>
          <w:tcPr>
            <w:tcW w:type="dxa" w:w="2412"/>
          </w:tcPr>
          <w:p>
            <w:r>
              <w:t>Situação fiscal (Apoio Adm. / offshore)</w:t>
            </w:r>
          </w:p>
        </w:tc>
        <w:tc>
          <w:tcPr>
            <w:tcW w:type="dxa" w:w="2412"/>
          </w:tcPr>
          <w:p>
            <w:r>
              <w:t>Receita Federal</w:t>
            </w:r>
          </w:p>
        </w:tc>
        <w:tc>
          <w:tcPr>
            <w:tcW w:type="dxa" w:w="2412"/>
          </w:tcPr>
          <w:p>
            <w:r>
              <w:t>Ofício (FBAR/CRS, DCBE, ECF)</w:t>
            </w:r>
          </w:p>
        </w:tc>
        <w:tc>
          <w:tcPr>
            <w:tcW w:type="dxa" w:w="2412"/>
          </w:tcPr>
          <w:p>
            <w:r>
              <w:t>semanas</w:t>
            </w:r>
          </w:p>
        </w:tc>
      </w:tr>
    </w:tbl>
    <w:p/>
    <w:p>
      <w:pPr>
        <w:pStyle w:val="Heading1"/>
      </w:pPr>
      <w:r>
        <w:rPr>
          <w:color w:val="1A1A1A"/>
        </w:rPr>
        <w:t>XI. Conformidade metodológica</w:t>
      </w:r>
    </w:p>
    <w:p>
      <w:pPr>
        <w:jc w:val="both"/>
      </w:pPr>
      <w:r>
        <w:rPr>
          <w:b w:val="0"/>
          <w:i w:val="0"/>
        </w:rPr>
        <w:t>CPC art. 472 — Este documento é parecer técnico-forense de apoio ao raciocínio jurídico da equipe; não é perícia oficial. Toda afirmação fática está ancorada em folhas dos autos, registro público (JUCESP, CVM, FNET, Receita Federal, BACEN), norma vigente ou fonte indicada. As tipificações são descritas em tese, em observância à presunção de inocência (CF art. 5º, LVII). A quantificação da meação apoia-se exclusivamente nos ativos localizados; a narrativa do universo sistêmico é memorial estratégico e instrução de notícia-crime autônoma, jamais base de pedido cível.</w:t>
      </w:r>
    </w:p>
    <w:p>
      <w:pPr>
        <w:jc w:val="both"/>
      </w:pPr>
      <w:r>
        <w:rPr>
          <w:b w:val="0"/>
          <w:i w:val="0"/>
        </w:rPr>
        <w:t>O conteúdo deve ser convertido, no que couber, em peça subscrita por advogado(a) (OAB) e em laudo subscrito por perito habilitado (CRC/CORECON) antes de qualquer uso processual. Pessoas físicas serão anonimizadas em qualquer versão de circulação externa.</w:t>
      </w:r>
    </w:p>
    <w:p>
      <w:pPr>
        <w:pStyle w:val="Heading1"/>
      </w:pPr>
      <w:r>
        <w:rPr>
          <w:color w:val="1A1A1A"/>
        </w:rPr>
        <w:t>Referências documentais oficiais</w:t>
      </w:r>
    </w:p>
    <w:tbl>
      <w:tblPr>
        <w:tblStyle w:val="LightGrid-Accent1"/>
        <w:tblW w:type="auto" w:w="0"/>
        <w:tblLook w:firstColumn="1" w:firstRow="1" w:lastColumn="0" w:lastRow="0" w:noHBand="0" w:noVBand="1" w:val="04A0"/>
      </w:tblPr>
      <w:tblGrid>
        <w:gridCol w:w="4824"/>
        <w:gridCol w:w="4824"/>
      </w:tblGrid>
      <w:tr>
        <w:tc>
          <w:tcPr>
            <w:tcW w:type="dxa" w:w="4824"/>
          </w:tcPr>
          <w:p>
            <w:r>
              <w:rPr>
                <w:b/>
              </w:rPr>
              <w:t>Categoria</w:t>
            </w:r>
          </w:p>
        </w:tc>
        <w:tc>
          <w:tcPr>
            <w:tcW w:type="dxa" w:w="4824"/>
          </w:tcPr>
          <w:p>
            <w:r>
              <w:rPr>
                <w:b/>
              </w:rPr>
              <w:t>Referências</w:t>
            </w:r>
          </w:p>
        </w:tc>
      </w:tr>
      <w:tr>
        <w:tc>
          <w:tcPr>
            <w:tcW w:type="dxa" w:w="4824"/>
          </w:tcPr>
          <w:p>
            <w:r>
              <w:t>Folhas dos autos</w:t>
            </w:r>
          </w:p>
        </w:tc>
        <w:tc>
          <w:tcPr>
            <w:tcW w:type="dxa" w:w="4824"/>
          </w:tcPr>
          <w:p>
            <w:r>
              <w:t>fls. 186 · 188 · 190 · 418 · 572 · 575 · 815-820 · 948-951 · 1013 · 2880-2892 · fls. 123 do conexo</w:t>
            </w:r>
          </w:p>
        </w:tc>
      </w:tr>
      <w:tr>
        <w:tc>
          <w:tcPr>
            <w:tcW w:type="dxa" w:w="4824"/>
          </w:tcPr>
          <w:p>
            <w:r>
              <w:t>Acórdãos / decisões</w:t>
            </w:r>
          </w:p>
        </w:tc>
        <w:tc>
          <w:tcPr>
            <w:tcW w:type="dxa" w:w="4824"/>
          </w:tcPr>
          <w:p>
            <w:r>
              <w:t>AI 2157767-67 (TJSP — preservação da constrição sobre as cotas FRAM)</w:t>
            </w:r>
          </w:p>
        </w:tc>
      </w:tr>
      <w:tr>
        <w:tc>
          <w:tcPr>
            <w:tcW w:type="dxa" w:w="4824"/>
          </w:tcPr>
          <w:p>
            <w:r>
              <w:t>Registros JUCESP</w:t>
            </w:r>
          </w:p>
        </w:tc>
        <w:tc>
          <w:tcPr>
            <w:tcW w:type="dxa" w:w="4824"/>
          </w:tcPr>
          <w:p>
            <w:r>
              <w:t>Doc. 361.506/23-5 (distrato RT 127); protocolo de cisão E-Vino 16/02/2022; arquivamento 04/03/2022</w:t>
            </w:r>
          </w:p>
        </w:tc>
      </w:tr>
      <w:tr>
        <w:tc>
          <w:tcPr>
            <w:tcW w:type="dxa" w:w="4824"/>
          </w:tcPr>
          <w:p>
            <w:r>
              <w:t>Registros CVM / FNET</w:t>
            </w:r>
          </w:p>
        </w:tc>
        <w:tc>
          <w:tcPr>
            <w:tcW w:type="dxa" w:w="4824"/>
          </w:tcPr>
          <w:p>
            <w:r>
              <w:t>CNPJs dos fundos; regulamento Ajaccio (9 versões); reestruturação RCVM 175/2022 em 26/05/2025</w:t>
            </w:r>
          </w:p>
        </w:tc>
      </w:tr>
      <w:tr>
        <w:tc>
          <w:tcPr>
            <w:tcW w:type="dxa" w:w="4824"/>
          </w:tcPr>
          <w:p>
            <w:r>
              <w:t>Receita Federal</w:t>
            </w:r>
          </w:p>
        </w:tc>
        <w:tc>
          <w:tcPr>
            <w:tcW w:type="dxa" w:w="4824"/>
          </w:tcPr>
          <w:p>
            <w:r>
              <w:t>DIRPF AC 2022 do Requerido; CNPJs do cadastro mestre</w:t>
            </w:r>
          </w:p>
        </w:tc>
      </w:tr>
      <w:tr>
        <w:tc>
          <w:tcPr>
            <w:tcW w:type="dxa" w:w="4824"/>
          </w:tcPr>
          <w:p>
            <w:r>
              <w:t>DOU</w:t>
            </w:r>
          </w:p>
        </w:tc>
        <w:tc>
          <w:tcPr>
            <w:tcW w:type="dxa" w:w="4824"/>
          </w:tcPr>
          <w:p>
            <w:r>
              <w:t>Seção 3 nº 102 de 28/05/2024 — rebrand OSLO → FRAM Capital DTVM</w:t>
            </w:r>
          </w:p>
        </w:tc>
      </w:tr>
      <w:tr>
        <w:tc>
          <w:tcPr>
            <w:tcW w:type="dxa" w:w="4824"/>
          </w:tcPr>
          <w:p>
            <w:r>
              <w:t>Normas aplicadas</w:t>
            </w:r>
          </w:p>
        </w:tc>
        <w:tc>
          <w:tcPr>
            <w:tcW w:type="dxa" w:w="4824"/>
          </w:tcPr>
          <w:p>
            <w:r>
              <w:t>CF 5º LVII e LXXVIII; CC 158-159, 167, 186, 212, 422, 927, 1.660; CPC 5º, 6º, 77, 80, 81, 139 IX, 277, 297, 311, 356, 357, 373 §1º, 374, 396-404, 472, 537, 792 V e §1º; LMP art. 7º IV; Lei 9.613/98; Lei 7.492/86; LC 105/2001; CP 168, 171, 299, 347; Res. CNJ 232/2016 e 492/2023; RCVM 175/2022 art. 39; Belém do Pará art. 7º</w:t>
            </w:r>
          </w:p>
        </w:tc>
      </w:tr>
    </w:tbl>
    <w:p/>
    <w:p>
      <w:pPr>
        <w:pStyle w:val="Heading1"/>
      </w:pPr>
      <w:r>
        <w:rPr>
          <w:color w:val="1A1A1A"/>
        </w:rPr>
        <w:t>Anexo — Cadastro Mestre dos veículos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t>Entidade</w:t>
            </w:r>
          </w:p>
        </w:tc>
        <w:tc>
          <w:tcPr>
            <w:tcW w:type="dxa" w:w="2412"/>
          </w:tcPr>
          <w:p>
            <w:r>
              <w:rPr>
                <w:b/>
              </w:rPr>
              <w:t>CNPJ</w:t>
            </w:r>
          </w:p>
        </w:tc>
        <w:tc>
          <w:tcPr>
            <w:tcW w:type="dxa" w:w="2412"/>
          </w:tcPr>
          <w:p>
            <w:r>
              <w:rPr>
                <w:b/>
              </w:rPr>
              <w:t>Capital / PL</w:t>
            </w:r>
          </w:p>
        </w:tc>
        <w:tc>
          <w:tcPr>
            <w:tcW w:type="dxa" w:w="2412"/>
          </w:tcPr>
          <w:p>
            <w:r>
              <w:rPr>
                <w:b/>
              </w:rPr>
              <w:t>Função</w:t>
            </w:r>
          </w:p>
        </w:tc>
      </w:tr>
      <w:tr>
        <w:tc>
          <w:tcPr>
            <w:tcW w:type="dxa" w:w="2412"/>
          </w:tcPr>
          <w:p>
            <w:r>
              <w:t>E-Vino Comércio de Vinhos S.A.</w:t>
            </w:r>
          </w:p>
        </w:tc>
        <w:tc>
          <w:tcPr>
            <w:tcW w:type="dxa" w:w="2412"/>
          </w:tcPr>
          <w:p>
            <w:r>
              <w:t>17.392.519/0001-65</w:t>
            </w:r>
          </w:p>
        </w:tc>
        <w:tc>
          <w:tcPr>
            <w:tcW w:type="dxa" w:w="2412"/>
          </w:tcPr>
          <w:p>
            <w:r>
              <w:t>R$ 538.725.437,56</w:t>
            </w:r>
          </w:p>
        </w:tc>
        <w:tc>
          <w:tcPr>
            <w:tcW w:type="dxa" w:w="2412"/>
          </w:tcPr>
          <w:p>
            <w:r>
              <w:t>Operacional central</w:t>
            </w:r>
          </w:p>
        </w:tc>
      </w:tr>
      <w:tr>
        <w:tc>
          <w:tcPr>
            <w:tcW w:type="dxa" w:w="2412"/>
          </w:tcPr>
          <w:p>
            <w:r>
              <w:t>Agro Syrah Participações S.A.</w:t>
            </w:r>
          </w:p>
        </w:tc>
        <w:tc>
          <w:tcPr>
            <w:tcW w:type="dxa" w:w="2412"/>
          </w:tcPr>
          <w:p>
            <w:r>
              <w:t>23.699.696/0001-91</w:t>
            </w:r>
          </w:p>
        </w:tc>
        <w:tc>
          <w:tcPr>
            <w:tcW w:type="dxa" w:w="2412"/>
          </w:tcPr>
          <w:p>
            <w:r>
              <w:t>R$ 74.419.700,74</w:t>
            </w:r>
          </w:p>
        </w:tc>
        <w:tc>
          <w:tcPr>
            <w:tcW w:type="dxa" w:w="2412"/>
          </w:tcPr>
          <w:p>
            <w:r>
              <w:t>Holding intermediária</w:t>
            </w:r>
          </w:p>
        </w:tc>
      </w:tr>
      <w:tr>
        <w:tc>
          <w:tcPr>
            <w:tcW w:type="dxa" w:w="2412"/>
          </w:tcPr>
          <w:p>
            <w:r>
              <w:t>Grand Cru Importadora Ltda.</w:t>
            </w:r>
          </w:p>
        </w:tc>
        <w:tc>
          <w:tcPr>
            <w:tcW w:type="dxa" w:w="2412"/>
          </w:tcPr>
          <w:p>
            <w:r>
              <w:t>05.089.637/0001-10</w:t>
            </w:r>
          </w:p>
        </w:tc>
        <w:tc>
          <w:tcPr>
            <w:tcW w:type="dxa" w:w="2412"/>
          </w:tcPr>
          <w:p>
            <w:r>
              <w:t>R$ 58.383.737,14</w:t>
            </w:r>
          </w:p>
        </w:tc>
        <w:tc>
          <w:tcPr>
            <w:tcW w:type="dxa" w:w="2412"/>
          </w:tcPr>
          <w:p>
            <w:r>
              <w:t>Operacional</w:t>
            </w:r>
          </w:p>
        </w:tc>
      </w:tr>
      <w:tr>
        <w:tc>
          <w:tcPr>
            <w:tcW w:type="dxa" w:w="2412"/>
          </w:tcPr>
          <w:p>
            <w:r>
              <w:t>RT 127 Empreendimentos Ltda.</w:t>
            </w:r>
          </w:p>
        </w:tc>
        <w:tc>
          <w:tcPr>
            <w:tcW w:type="dxa" w:w="2412"/>
          </w:tcPr>
          <w:p>
            <w:r>
              <w:t>44.548.365/0001-20</w:t>
            </w:r>
          </w:p>
        </w:tc>
        <w:tc>
          <w:tcPr>
            <w:tcW w:type="dxa" w:w="2412"/>
          </w:tcPr>
          <w:p>
            <w:r>
              <w:t>R$ 57.181.067,46</w:t>
            </w:r>
          </w:p>
        </w:tc>
        <w:tc>
          <w:tcPr>
            <w:tcW w:type="dxa" w:w="2412"/>
          </w:tcPr>
          <w:p>
            <w:r>
              <w:t>Veículo de cisão — distratada</w:t>
            </w:r>
          </w:p>
        </w:tc>
      </w:tr>
      <w:tr>
        <w:tc>
          <w:tcPr>
            <w:tcW w:type="dxa" w:w="2412"/>
          </w:tcPr>
          <w:p>
            <w:r>
              <w:t>Interbeverages Ltda.</w:t>
            </w:r>
          </w:p>
        </w:tc>
        <w:tc>
          <w:tcPr>
            <w:tcW w:type="dxa" w:w="2412"/>
          </w:tcPr>
          <w:p>
            <w:r>
              <w:t>25.383.665/0001-52</w:t>
            </w:r>
          </w:p>
        </w:tc>
        <w:tc>
          <w:tcPr>
            <w:tcW w:type="dxa" w:w="2412"/>
          </w:tcPr>
          <w:p>
            <w:r>
              <w:t>R$ 36.250.295,00</w:t>
            </w:r>
          </w:p>
        </w:tc>
        <w:tc>
          <w:tcPr>
            <w:tcW w:type="dxa" w:w="2412"/>
          </w:tcPr>
          <w:p>
            <w:r>
              <w:t>Parking patrimonial</w:t>
            </w:r>
          </w:p>
        </w:tc>
      </w:tr>
      <w:tr>
        <w:tc>
          <w:tcPr>
            <w:tcW w:type="dxa" w:w="2412"/>
          </w:tcPr>
          <w:p>
            <w:r>
              <w:t>GC Distribuidora Ltda.</w:t>
            </w:r>
          </w:p>
        </w:tc>
        <w:tc>
          <w:tcPr>
            <w:tcW w:type="dxa" w:w="2412"/>
          </w:tcPr>
          <w:p>
            <w:r>
              <w:t>13.728.375/0001-14</w:t>
            </w:r>
          </w:p>
        </w:tc>
        <w:tc>
          <w:tcPr>
            <w:tcW w:type="dxa" w:w="2412"/>
          </w:tcPr>
          <w:p>
            <w:r>
              <w:t>R$ 13.615.590,00</w:t>
            </w:r>
          </w:p>
        </w:tc>
        <w:tc>
          <w:tcPr>
            <w:tcW w:type="dxa" w:w="2412"/>
          </w:tcPr>
          <w:p>
            <w:r>
              <w:t>Distribuição</w:t>
            </w:r>
          </w:p>
        </w:tc>
      </w:tr>
      <w:tr>
        <w:tc>
          <w:tcPr>
            <w:tcW w:type="dxa" w:w="2412"/>
          </w:tcPr>
          <w:p>
            <w:r>
              <w:t>Víssimo Franquias Ltda.</w:t>
            </w:r>
          </w:p>
        </w:tc>
        <w:tc>
          <w:tcPr>
            <w:tcW w:type="dxa" w:w="2412"/>
          </w:tcPr>
          <w:p>
            <w:r>
              <w:t>12.584.840/0001-28</w:t>
            </w:r>
          </w:p>
        </w:tc>
        <w:tc>
          <w:tcPr>
            <w:tcW w:type="dxa" w:w="2412"/>
          </w:tcPr>
          <w:p>
            <w:r>
              <w:t>R$ 5.922.970,00</w:t>
            </w:r>
          </w:p>
        </w:tc>
        <w:tc>
          <w:tcPr>
            <w:tcW w:type="dxa" w:w="2412"/>
          </w:tcPr>
          <w:p>
            <w:r>
              <w:t>Detentora marca Grand Cru</w:t>
            </w:r>
          </w:p>
        </w:tc>
      </w:tr>
      <w:tr>
        <w:tc>
          <w:tcPr>
            <w:tcW w:type="dxa" w:w="2412"/>
          </w:tcPr>
          <w:p>
            <w:r>
              <w:t>Ari Gorenstein Apoio Adm. Ltda.</w:t>
            </w:r>
          </w:p>
        </w:tc>
        <w:tc>
          <w:tcPr>
            <w:tcW w:type="dxa" w:w="2412"/>
          </w:tcPr>
          <w:p>
            <w:r>
              <w:t>17.867.118/0001-14</w:t>
            </w:r>
          </w:p>
        </w:tc>
        <w:tc>
          <w:tcPr>
            <w:tcW w:type="dxa" w:w="2412"/>
          </w:tcPr>
          <w:p>
            <w:r>
              <w:t>R$ 1.000,00</w:t>
            </w:r>
          </w:p>
        </w:tc>
        <w:tc>
          <w:tcPr>
            <w:tcW w:type="dxa" w:w="2412"/>
          </w:tcPr>
          <w:p>
            <w:r>
              <w:t>Pass-through</w:t>
            </w:r>
          </w:p>
        </w:tc>
      </w:tr>
      <w:tr>
        <w:tc>
          <w:tcPr>
            <w:tcW w:type="dxa" w:w="2412"/>
          </w:tcPr>
          <w:p>
            <w:r>
              <w:t>FIP Ajaccio Multiestratégia</w:t>
            </w:r>
          </w:p>
        </w:tc>
        <w:tc>
          <w:tcPr>
            <w:tcW w:type="dxa" w:w="2412"/>
          </w:tcPr>
          <w:p>
            <w:r>
              <w:t>37.381.595/0001-82</w:t>
            </w:r>
          </w:p>
        </w:tc>
        <w:tc>
          <w:tcPr>
            <w:tcW w:type="dxa" w:w="2412"/>
          </w:tcPr>
          <w:p>
            <w:r>
              <w:t>PL ≈ R$ 1,41 bi</w:t>
            </w:r>
          </w:p>
        </w:tc>
        <w:tc>
          <w:tcPr>
            <w:tcW w:type="dxa" w:w="2412"/>
          </w:tcPr>
          <w:p>
            <w:r>
              <w:t>Master Hub</w:t>
            </w:r>
          </w:p>
        </w:tc>
      </w:tr>
      <w:tr>
        <w:tc>
          <w:tcPr>
            <w:tcW w:type="dxa" w:w="2412"/>
          </w:tcPr>
          <w:p>
            <w:r>
              <w:t>FRAM Capital DTVM (ex-OSLO)</w:t>
            </w:r>
          </w:p>
        </w:tc>
        <w:tc>
          <w:tcPr>
            <w:tcW w:type="dxa" w:w="2412"/>
          </w:tcPr>
          <w:p>
            <w:r>
              <w:t>13.673.855/0001-25</w:t>
            </w:r>
          </w:p>
        </w:tc>
        <w:tc>
          <w:tcPr>
            <w:tcW w:type="dxa" w:w="2412"/>
          </w:tcPr>
          <w:p>
            <w:r>
              <w:t>R$ 12.150.000,00</w:t>
            </w:r>
          </w:p>
        </w:tc>
        <w:tc>
          <w:tcPr>
            <w:tcW w:type="dxa" w:w="2412"/>
          </w:tcPr>
          <w:p>
            <w:r>
              <w:t>Administradora</w:t>
            </w:r>
          </w:p>
        </w:tc>
      </w:tr>
      <w:tr>
        <w:tc>
          <w:tcPr>
            <w:tcW w:type="dxa" w:w="2412"/>
          </w:tcPr>
          <w:p>
            <w:r>
              <w:t>Bonifácio FIP</w:t>
            </w:r>
          </w:p>
        </w:tc>
        <w:tc>
          <w:tcPr>
            <w:tcW w:type="dxa" w:w="2412"/>
          </w:tcPr>
          <w:p>
            <w:r>
              <w:t>59.402.540/0001-44</w:t>
            </w:r>
          </w:p>
        </w:tc>
        <w:tc>
          <w:tcPr>
            <w:tcW w:type="dxa" w:w="2412"/>
          </w:tcPr>
          <w:p>
            <w:r>
              <w:t>PL ≈ R$ 61.300,00</w:t>
            </w:r>
          </w:p>
        </w:tc>
        <w:tc>
          <w:tcPr>
            <w:tcW w:type="dxa" w:w="2412"/>
          </w:tcPr>
          <w:p>
            <w:r>
              <w:t>Fundo-casca 11/02/2025</w:t>
            </w:r>
          </w:p>
        </w:tc>
      </w:tr>
      <w:tr>
        <w:tc>
          <w:tcPr>
            <w:tcW w:type="dxa" w:w="2412"/>
          </w:tcPr>
          <w:p>
            <w:r>
              <w:t>FRAM Capital XIV FIP</w:t>
            </w:r>
          </w:p>
        </w:tc>
        <w:tc>
          <w:tcPr>
            <w:tcW w:type="dxa" w:w="2412"/>
          </w:tcPr>
          <w:p>
            <w:r>
              <w:t>37.388.102/0001-36</w:t>
            </w:r>
          </w:p>
        </w:tc>
        <w:tc>
          <w:tcPr>
            <w:tcW w:type="dxa" w:w="2412"/>
          </w:tcPr>
          <w:p>
            <w:r>
              <w:t>cancelado</w:t>
            </w:r>
          </w:p>
        </w:tc>
        <w:tc>
          <w:tcPr>
            <w:tcW w:type="dxa" w:w="2412"/>
          </w:tcPr>
          <w:p>
            <w:r>
              <w:t>Feeder histórico</w:t>
            </w:r>
          </w:p>
        </w:tc>
      </w:tr>
      <w:tr>
        <w:tc>
          <w:tcPr>
            <w:tcW w:type="dxa" w:w="2412"/>
          </w:tcPr>
          <w:p>
            <w:r>
              <w:t>JP2R PTE LTD (Singapura)</w:t>
            </w:r>
          </w:p>
        </w:tc>
        <w:tc>
          <w:tcPr>
            <w:tcW w:type="dxa" w:w="2412"/>
          </w:tcPr>
          <w:p>
            <w:r>
              <w:t>UEN 201840728Z</w:t>
            </w:r>
          </w:p>
        </w:tc>
        <w:tc>
          <w:tcPr>
            <w:tcW w:type="dxa" w:w="2412"/>
          </w:tcPr>
          <w:p>
            <w:r>
              <w:t>—</w:t>
            </w:r>
          </w:p>
        </w:tc>
        <w:tc>
          <w:tcPr>
            <w:tcW w:type="dxa" w:w="2412"/>
          </w:tcPr>
          <w:p>
            <w:r>
              <w:t>Camada offshore</w:t>
            </w:r>
          </w:p>
        </w:tc>
      </w:tr>
    </w:tbl>
    <w:p/>
    <w:p>
      <w:pPr>
        <w:jc w:val="center"/>
      </w:pPr>
      <w:r>
        <w:rPr>
          <w:i/>
          <w:sz w:val="17"/>
        </w:rPr>
        <w:t>Parecer Técnico-Forense Final · Versão Integrada de Referência · Operação Limoncello</w:t>
        <w:br/>
        <w:t>Série DOSSIÊS E NOTAS TÉCNICAS — documento 15 · Versão final 1.0 · 12/06/2026 · CONFIDENCIAL</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