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PARECER-TESE · REPOSICIONAMENTO SEMÂNTICO-EPISTEMOLÓGICO</w:t>
      </w:r>
    </w:p>
    <w:p>
      <w:pPr>
        <w:jc w:val="center"/>
      </w:pPr>
      <w:r>
        <w:rPr>
          <w:i/>
          <w:sz w:val="19"/>
        </w:rPr>
        <w:t>O código SISBAJUD não é categoria de impenhorabilidade: a cota arrestada já foi penhorada</w:t>
        <w:br/>
        <w:t>Autos 1006744-58.2023.8.26.0011 · 1ª VF Pinheiros/SP · Emissão 14/06/2026 · Versão 1.0</w:t>
        <w:br/>
        <w:t>CPC art. 472 · CF art. 5º LVII · CONFIDENCIAL — uso restrito da equipe</w:t>
      </w:r>
    </w:p>
    <w:p>
      <w:pPr>
        <w:pStyle w:val="Heading1"/>
      </w:pPr>
      <w:r>
        <w:rPr>
          <w:color w:val="1A1A1A"/>
        </w:rPr>
        <w:t>I. Tese em uma frase</w:t>
      </w:r>
    </w:p>
    <w:p>
      <w:pPr>
        <w:jc w:val="both"/>
      </w:pPr>
      <w:r>
        <w:rPr>
          <w:b/>
          <w:i w:val="0"/>
        </w:rPr>
        <w:t>A defesa adversa explora uma confusão semântica entre código operacional de retorno do SISBAJUD e categoria substantiva de impenhorabilidade do CPC art. 833. As duas taxonomias não conversam: a primeira descreve o que aconteceu na execução técnica da ordem; a segunda descreve quais bens a lei subtrai da constrição. Tratá-las como sinônimos converte uma resposta técnica de iliquidez em narrativa jurídica de imunidade — e a consequência factual desse deslocamento, sustentada por 1.095+ dias de inexecução da partilha, é, em tese, frustração executória nos elementos do art. 792 do Código de Processo Civil.</w:t>
      </w:r>
    </w:p>
    <w:p>
      <w:pPr>
        <w:pStyle w:val="Heading1"/>
      </w:pPr>
      <w:r>
        <w:rPr>
          <w:color w:val="1A1A1A"/>
        </w:rPr>
        <w:t>II. As duas taxonomias — e a vala que as separa</w:t>
      </w:r>
    </w:p>
    <w:p>
      <w:pPr>
        <w:jc w:val="both"/>
      </w:pPr>
      <w:r>
        <w:rPr>
          <w:b w:val="0"/>
          <w:i w:val="0"/>
        </w:rPr>
        <w:t>O ponto de partida é distinguir o que pertence a cada universo. A Resolução CNJ nº 232/2016, o Convênio BACEN-CNJ e o Manual Operacional do SISBAJUD descrevem códigos de retorno da ordem judicial — não regimes de penhorabilidade. O Código de Processo Civil descreve regimes de penhorabilidade — não códigos operacionais.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Atributo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SISBAJUD (Res. CNJ 232/2016)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CPC art. 833</w:t>
            </w:r>
          </w:p>
        </w:tc>
      </w:tr>
      <w:tr>
        <w:tc>
          <w:tcPr>
            <w:tcW w:type="dxa" w:w="3216"/>
          </w:tcPr>
          <w:p>
            <w:r>
              <w:t>Natureza</w:t>
            </w:r>
          </w:p>
        </w:tc>
        <w:tc>
          <w:tcPr>
            <w:tcW w:type="dxa" w:w="3216"/>
          </w:tcPr>
          <w:p>
            <w:r>
              <w:t>Descritiva — registra o que a instituição financeira fez</w:t>
            </w:r>
          </w:p>
        </w:tc>
        <w:tc>
          <w:tcPr>
            <w:tcW w:type="dxa" w:w="3216"/>
          </w:tcPr>
          <w:p>
            <w:r>
              <w:t>Normativa — define quais bens são juridicamente impenhoráveis</w:t>
            </w:r>
          </w:p>
        </w:tc>
      </w:tr>
      <w:tr>
        <w:tc>
          <w:tcPr>
            <w:tcW w:type="dxa" w:w="3216"/>
          </w:tcPr>
          <w:p>
            <w:r>
              <w:t>Sujeito</w:t>
            </w:r>
          </w:p>
        </w:tc>
        <w:tc>
          <w:tcPr>
            <w:tcW w:type="dxa" w:w="3216"/>
          </w:tcPr>
          <w:p>
            <w:r>
              <w:t>Instituição financeira (BACEN regulada)</w:t>
            </w:r>
          </w:p>
        </w:tc>
        <w:tc>
          <w:tcPr>
            <w:tcW w:type="dxa" w:w="3216"/>
          </w:tcPr>
          <w:p>
            <w:r>
              <w:t>Juízo da execução (CPC)</w:t>
            </w:r>
          </w:p>
        </w:tc>
      </w:tr>
      <w:tr>
        <w:tc>
          <w:tcPr>
            <w:tcW w:type="dxa" w:w="3216"/>
          </w:tcPr>
          <w:p>
            <w:r>
              <w:t>Efeito</w:t>
            </w:r>
          </w:p>
        </w:tc>
        <w:tc>
          <w:tcPr>
            <w:tcW w:type="dxa" w:w="3216"/>
          </w:tcPr>
          <w:p>
            <w:r>
              <w:t>Operacional — sucesso, falha, parcialidade, demora</w:t>
            </w:r>
          </w:p>
        </w:tc>
        <w:tc>
          <w:tcPr>
            <w:tcW w:type="dxa" w:w="3216"/>
          </w:tcPr>
          <w:p>
            <w:r>
              <w:t>Constitutivo — bem entra ou não no acervo executável</w:t>
            </w:r>
          </w:p>
        </w:tc>
      </w:tr>
      <w:tr>
        <w:tc>
          <w:tcPr>
            <w:tcW w:type="dxa" w:w="3216"/>
          </w:tcPr>
          <w:p>
            <w:r>
              <w:t>Critérios</w:t>
            </w:r>
          </w:p>
        </w:tc>
        <w:tc>
          <w:tcPr>
            <w:tcW w:type="dxa" w:w="3216"/>
          </w:tcPr>
          <w:p>
            <w:r>
              <w:t>Disponibilidade técnica (saldo, conta, liquidez)</w:t>
            </w:r>
          </w:p>
        </w:tc>
        <w:tc>
          <w:tcPr>
            <w:tcW w:type="dxa" w:w="3216"/>
          </w:tcPr>
          <w:p>
            <w:r>
              <w:t>Critérios legais taxativos (CPC 833 I a XII; CPC 854; CC 1.659)</w:t>
            </w:r>
          </w:p>
        </w:tc>
      </w:tr>
      <w:tr>
        <w:tc>
          <w:tcPr>
            <w:tcW w:type="dxa" w:w="3216"/>
          </w:tcPr>
          <w:p>
            <w:r>
              <w:t>Capacidade de fundamentar impenhorabilidade</w:t>
            </w:r>
          </w:p>
        </w:tc>
        <w:tc>
          <w:tcPr>
            <w:tcW w:type="dxa" w:w="3216"/>
          </w:tcPr>
          <w:p>
            <w:r>
              <w:t>NENHUMA — código operacional não constitui categoria substantiva</w:t>
            </w:r>
          </w:p>
        </w:tc>
        <w:tc>
          <w:tcPr>
            <w:tcW w:type="dxa" w:w="3216"/>
          </w:tcPr>
          <w:p>
            <w:r>
              <w:t>EXCLUSIVA — só o juízo declara impenhorável</w:t>
            </w:r>
          </w:p>
        </w:tc>
      </w:tr>
    </w:tbl>
    <w:p/>
    <w:p>
      <w:pPr>
        <w:jc w:val="both"/>
      </w:pPr>
      <w:r>
        <w:rPr>
          <w:b w:val="0"/>
          <w:i/>
        </w:rPr>
        <w:t>O código (32) significa "ordem cumprida"; o código (26), "ativo de baixa liquidez"; o código (98), "instituição não respondeu". Nenhum desses três é o que a Lei chama de "bem impenhorável". A categoria do art. 833 é normativa e taxativa.</w:t>
      </w:r>
    </w:p>
    <w:p>
      <w:pPr>
        <w:pStyle w:val="Heading1"/>
      </w:pPr>
      <w:r>
        <w:rPr>
          <w:color w:val="1A1A1A"/>
        </w:rPr>
        <w:t>III. O caso concreto — códigos efetivamente devolvidos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1930"/>
          </w:tcPr>
          <w:p>
            <w:r>
              <w:rPr>
                <w:b/>
              </w:rPr>
              <w:t>Ag./Conta</w:t>
            </w:r>
          </w:p>
        </w:tc>
        <w:tc>
          <w:tcPr>
            <w:tcW w:type="dxa" w:w="193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930"/>
          </w:tcPr>
          <w:p>
            <w:r>
              <w:rPr>
                <w:b/>
              </w:rPr>
              <w:t>Significação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Referência</w:t>
            </w:r>
          </w:p>
        </w:tc>
      </w:tr>
      <w:tr>
        <w:tc>
          <w:tcPr>
            <w:tcW w:type="dxa" w:w="1930"/>
          </w:tcPr>
          <w:p>
            <w:r>
              <w:t>FRAM Capital DTVM</w:t>
            </w:r>
          </w:p>
        </w:tc>
        <w:tc>
          <w:tcPr>
            <w:tcW w:type="dxa" w:w="1930"/>
          </w:tcPr>
          <w:p>
            <w:r>
              <w:t>0001 / 110486</w:t>
            </w:r>
          </w:p>
        </w:tc>
        <w:tc>
          <w:tcPr>
            <w:tcW w:type="dxa" w:w="1930"/>
          </w:tcPr>
          <w:p>
            <w:r>
              <w:t>(98) → reiteração → (26)</w:t>
            </w:r>
          </w:p>
        </w:tc>
        <w:tc>
          <w:tcPr>
            <w:tcW w:type="dxa" w:w="1930"/>
          </w:tcPr>
          <w:p>
            <w:r>
              <w:t>Primeiro não respondeu; após reiteração, registrou o ativo como de baixa liquidez (cotas FIP fechado)</w:t>
            </w:r>
          </w:p>
        </w:tc>
        <w:tc>
          <w:tcPr>
            <w:tcW w:type="dxa" w:w="1930"/>
          </w:tcPr>
          <w:p>
            <w:r>
              <w:t>fls. 410, 418-419</w:t>
            </w:r>
          </w:p>
        </w:tc>
      </w:tr>
      <w:tr>
        <w:tc>
          <w:tcPr>
            <w:tcW w:type="dxa" w:w="1930"/>
          </w:tcPr>
          <w:p>
            <w:r>
              <w:t>Itaú Unibanco</w:t>
            </w:r>
          </w:p>
        </w:tc>
        <w:tc>
          <w:tcPr>
            <w:tcW w:type="dxa" w:w="1930"/>
          </w:tcPr>
          <w:p>
            <w:r>
              <w:t>6560/073915 + 3170/007391</w:t>
            </w:r>
          </w:p>
        </w:tc>
        <w:tc>
          <w:tcPr>
            <w:tcW w:type="dxa" w:w="1930"/>
          </w:tcPr>
          <w:p>
            <w:r>
              <w:t>(32) Cumprida</w:t>
            </w:r>
          </w:p>
        </w:tc>
        <w:tc>
          <w:tcPr>
            <w:tcW w:type="dxa" w:w="1930"/>
          </w:tcPr>
          <w:p>
            <w:r>
              <w:t>Bloqueio executado regularmente</w:t>
            </w:r>
          </w:p>
        </w:tc>
        <w:tc>
          <w:tcPr>
            <w:tcW w:type="dxa" w:w="1930"/>
          </w:tcPr>
          <w:p>
            <w:r>
              <w:t>fls. 410-416, 508-509</w:t>
            </w:r>
          </w:p>
        </w:tc>
      </w:tr>
      <w:tr>
        <w:tc>
          <w:tcPr>
            <w:tcW w:type="dxa" w:w="1930"/>
          </w:tcPr>
          <w:p>
            <w:r>
              <w:t>BTG Pactual</w:t>
            </w:r>
          </w:p>
        </w:tc>
        <w:tc>
          <w:tcPr>
            <w:tcW w:type="dxa" w:w="1930"/>
          </w:tcPr>
          <w:p>
            <w:r>
              <w:t>—</w:t>
            </w:r>
          </w:p>
        </w:tc>
        <w:tc>
          <w:tcPr>
            <w:tcW w:type="dxa" w:w="1930"/>
          </w:tcPr>
          <w:p>
            <w:r>
              <w:t>(32) — ordem 31/03/2026</w:t>
            </w:r>
          </w:p>
        </w:tc>
        <w:tc>
          <w:tcPr>
            <w:tcW w:type="dxa" w:w="1930"/>
          </w:tcPr>
          <w:p>
            <w:r>
              <w:t>Captura regular de depósito a prazo</w:t>
            </w:r>
          </w:p>
        </w:tc>
        <w:tc>
          <w:tcPr>
            <w:tcW w:type="dxa" w:w="1930"/>
          </w:tcPr>
          <w:p>
            <w:r>
              <w:t>fls. 123 do conexo</w:t>
            </w:r>
          </w:p>
        </w:tc>
      </w:tr>
    </w:tbl>
    <w:p/>
    <w:p>
      <w:pPr>
        <w:jc w:val="both"/>
      </w:pPr>
      <w:r>
        <w:rPr>
          <w:b/>
          <w:i w:val="0"/>
        </w:rPr>
        <w:t>Achado factual decisivo: o recibo de fls. 418-419 registra, na linha da FRAM Capital DTVM, o código operacional (26) — ativo de baixa liquidez. Este código pertence ao manual operacional do SISBAJUD e descreve uma condição técnica: o produto financeiro existe e está identificado, mas requer procedimento de liquidação para conversão em moeda escritural. Não há, em todo o caso, uma única linha do SISBAJUD com código de impenhorabilidade.</w:t>
      </w:r>
    </w:p>
    <w:p>
      <w:pPr>
        <w:pStyle w:val="Heading1"/>
      </w:pPr>
      <w:r>
        <w:rPr>
          <w:color w:val="1A1A1A"/>
        </w:rPr>
        <w:t>IV. A confusão semântica que a defesa explora</w:t>
      </w:r>
    </w:p>
    <w:p>
      <w:pPr>
        <w:jc w:val="both"/>
      </w:pPr>
      <w:r>
        <w:rPr>
          <w:b w:val="0"/>
          <w:i w:val="0"/>
        </w:rPr>
        <w:t>O deslocamento adversarial opera em três passos sucessivos:</w:t>
      </w:r>
    </w:p>
    <w:p>
      <w:pPr>
        <w:jc w:val="both"/>
      </w:pPr>
      <w:r>
        <w:rPr>
          <w:b w:val="0"/>
          <w:i w:val="0"/>
        </w:rPr>
        <w:t>1. Substituição de signo. O signo "cota" (instrumento societário) é introduzido pela própria defesa às fls. 569 e 575 sobre o significante "valor em conta" que o SISBAJUD havia capturado. O sistema não disse "cota" — disse R$ 77.640.365,33 em ativo financeiro na agência 0001, conta 110486.</w:t>
      </w:r>
    </w:p>
    <w:p>
      <w:pPr>
        <w:jc w:val="both"/>
      </w:pPr>
      <w:r>
        <w:rPr>
          <w:b w:val="0"/>
          <w:i w:val="0"/>
        </w:rPr>
        <w:t>2. Importação de regime. Renomeado o ativo como "cota", importa-se o regime jurídico das cotas de FIP fechado — iliquidez, valuation, procedimento de liquidação. Este regime é verdadeiro para a monetização, mas não para a penhorabilidade: cotas de FIP são pacificamente penhoráveis (CPC art. 835, XIII).</w:t>
      </w:r>
    </w:p>
    <w:p>
      <w:pPr>
        <w:jc w:val="both"/>
      </w:pPr>
      <w:r>
        <w:rPr>
          <w:b w:val="0"/>
          <w:i w:val="0"/>
        </w:rPr>
        <w:t>3. Salto categorial. Da iliquidez derivada salta-se à narrativa de "impossibilidade" de constrição. O salto não é jurídico — é retórico. A iliquidez afeta o momento e o modo da liquidação; jamais a existência da penhora.</w:t>
      </w:r>
    </w:p>
    <w:p>
      <w:pPr>
        <w:pStyle w:val="Heading2"/>
      </w:pPr>
      <w:r>
        <w:rPr>
          <w:color w:val="7A0C0C"/>
        </w:rPr>
        <w:t>Silogismo de fechamento</w:t>
      </w:r>
    </w:p>
    <w:p>
      <w:pPr>
        <w:jc w:val="both"/>
      </w:pPr>
      <w:r>
        <w:rPr>
          <w:b w:val="0"/>
          <w:i w:val="0"/>
        </w:rPr>
        <w:t>P1 — Códigos operacionais do SISBAJUD descrevem a execução técnica da ordem (Res. CNJ 232/2016).</w:t>
      </w:r>
    </w:p>
    <w:p>
      <w:pPr>
        <w:jc w:val="both"/>
      </w:pPr>
      <w:r>
        <w:rPr>
          <w:b w:val="0"/>
          <w:i w:val="0"/>
        </w:rPr>
        <w:t>P2 — Impenhorabilidade é categoria normativa taxativa do CPC art. 833.</w:t>
      </w:r>
    </w:p>
    <w:p>
      <w:pPr>
        <w:jc w:val="both"/>
      </w:pPr>
      <w:r>
        <w:rPr>
          <w:b w:val="0"/>
          <w:i w:val="0"/>
        </w:rPr>
        <w:t>P3 — Cotas de FIP estão expressamente entre os bens penhoráveis (CPC art. 835, XIII).</w:t>
      </w:r>
    </w:p>
    <w:p>
      <w:pPr>
        <w:jc w:val="both"/>
      </w:pPr>
      <w:r>
        <w:rPr>
          <w:b/>
          <w:i w:val="0"/>
        </w:rPr>
        <w:t>Conclusão — O retorno operacional (26) descreve dificuldade de monetização; não constitui impenhorabilidade, não suspende a penhora, não retira o bem do acervo executável.</w:t>
      </w:r>
    </w:p>
    <w:p>
      <w:pPr>
        <w:pStyle w:val="Heading1"/>
      </w:pPr>
      <w:r>
        <w:rPr>
          <w:color w:val="1A1A1A"/>
        </w:rPr>
        <w:t>V. O que os autos já decidiram — coisa julgada material</w:t>
      </w:r>
    </w:p>
    <w:p>
      <w:pPr>
        <w:pStyle w:val="Heading2"/>
      </w:pPr>
      <w:r>
        <w:rPr>
          <w:color w:val="7A0C0C"/>
        </w:rPr>
        <w:t>V.1 Acórdão fls. 1064-1079 — trânsito em julgado em 10/10/2023</w:t>
      </w:r>
    </w:p>
    <w:p>
      <w:pPr>
        <w:jc w:val="both"/>
      </w:pPr>
      <w:r>
        <w:rPr>
          <w:b w:val="0"/>
          <w:i/>
        </w:rPr>
        <w:t>"Assim, deve ser mantido o bloqueio de metade das cotas localizadas perante a instituição FRAM CAPITAL DTVM S.A., até o momento adequado de liquidação." (acórdão, fls. 1078)</w:t>
      </w:r>
    </w:p>
    <w:p>
      <w:pPr>
        <w:jc w:val="both"/>
      </w:pPr>
      <w:r>
        <w:rPr>
          <w:b/>
          <w:i w:val="0"/>
        </w:rPr>
        <w:t>O TJSP cindiu, com precisão técnica, duas operações distintas: (i) o bloqueio (arresto) da propriedade das cotas — mantido; e (ii) a transferência do valor para conta judicial — suspensa, até o momento adequado de liquidação. O bem está penhorado; a sua conversão em dinheiro é diferida no tempo. A defesa não recorreu, e o tema transitou em julgado em 10/10/2023 (fls. 1079).</w:t>
      </w:r>
    </w:p>
    <w:p>
      <w:pPr>
        <w:pStyle w:val="Heading2"/>
      </w:pPr>
      <w:r>
        <w:rPr>
          <w:color w:val="7A0C0C"/>
        </w:rPr>
        <w:t>V.2 Decisão de saneamento fls. 1370-1373 — 02/09/2024</w:t>
      </w:r>
    </w:p>
    <w:p>
      <w:pPr>
        <w:jc w:val="both"/>
      </w:pPr>
      <w:r>
        <w:rPr>
          <w:b w:val="0"/>
          <w:i/>
        </w:rPr>
        <w:t>"A decisão de 23 de maio de 2023 determinou o bloqueio de R$ 42.428.357,32 via Sisbajud em contas em face do requerido e a de fls. 761 especificamente o bloqueio das cotas mantidas pelo requerido junto à FRAM. (...) Portanto, não merece acolhimento o pedido de imediata transferência de 50% das quotas." (decisão, fls. 1370-1371)</w:t>
      </w:r>
    </w:p>
    <w:p>
      <w:pPr>
        <w:jc w:val="both"/>
      </w:pPr>
      <w:r>
        <w:rPr>
          <w:b/>
          <w:i w:val="0"/>
        </w:rPr>
        <w:t>A juíza, ao sanear o feito (CPC art. 357), reafirmou o regime: o bloqueio sobre as cotas FRAM está mantido; o que se indefere é o pedido — do próprio Requerido — de "imediata transferência de 50% das quotas". A defesa tenta — no mesmo movimento — primeiro forçar uma transferência imediata para depois alegar que a impossibilidade de transferência imediata equivale a impossibilidade de constrição. A petição rejeitada e a categoria adversa caem juntas.</w:t>
      </w:r>
    </w:p>
    <w:p>
      <w:pPr>
        <w:pStyle w:val="Heading2"/>
      </w:pPr>
      <w:r>
        <w:rPr>
          <w:color w:val="7A0C0C"/>
        </w:rPr>
        <w:t>V.3 Embargos de declaração fls. 1392-1404 — rejeitados às fls. 1405-1406 (08/11/2024)</w:t>
      </w:r>
    </w:p>
    <w:p>
      <w:pPr>
        <w:jc w:val="both"/>
      </w:pPr>
      <w:r>
        <w:rPr>
          <w:b w:val="0"/>
          <w:i w:val="0"/>
        </w:rPr>
        <w:t>Os embargos de declaração interpostos contra a decisão saneadora foram rejeitados, com a Magistrada advertindo o embargante quanto à possibilidade de condenação por litigância de má-fé. O regime das cotas — bloqueio mantido, transferência suspensa até a liquidação — é, portanto, questão preclusa.</w:t>
      </w:r>
    </w:p>
    <w:p>
      <w:pPr>
        <w:pStyle w:val="Heading1"/>
      </w:pPr>
      <w:r>
        <w:rPr>
          <w:color w:val="1A1A1A"/>
        </w:rPr>
        <w:t>VI. Reposicionamento epistemológico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Proposição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Razão</w:t>
            </w:r>
          </w:p>
        </w:tc>
      </w:tr>
      <w:tr>
        <w:tc>
          <w:tcPr>
            <w:tcW w:type="dxa" w:w="3216"/>
          </w:tcPr>
          <w:p>
            <w:r>
              <w:t>P1</w:t>
            </w:r>
          </w:p>
        </w:tc>
        <w:tc>
          <w:tcPr>
            <w:tcW w:type="dxa" w:w="3216"/>
          </w:tcPr>
          <w:p>
            <w:r>
              <w:t>Localização e penhorabilidade são níveis distintos. Localização é evento epistemológico; penhorabilidade é qualificação jurídica.</w:t>
            </w:r>
          </w:p>
        </w:tc>
        <w:tc>
          <w:tcPr>
            <w:tcW w:type="dxa" w:w="3216"/>
          </w:tcPr>
          <w:p>
            <w:r>
              <w:t>Res. CNJ 232/2016 art. 2º; CPC art. 833 a contrario sensu + 835</w:t>
            </w:r>
          </w:p>
        </w:tc>
      </w:tr>
      <w:tr>
        <w:tc>
          <w:tcPr>
            <w:tcW w:type="dxa" w:w="3216"/>
          </w:tcPr>
          <w:p>
            <w:r>
              <w:t>P2</w:t>
            </w:r>
          </w:p>
        </w:tc>
        <w:tc>
          <w:tcPr>
            <w:tcW w:type="dxa" w:w="3216"/>
          </w:tcPr>
          <w:p>
            <w:r>
              <w:t>Baixa liquidez é critério de momento e modo, não de existência. Um ativo de baixa liquidez é penhorável; o que se ajusta é o procedimento.</w:t>
            </w:r>
          </w:p>
        </w:tc>
        <w:tc>
          <w:tcPr>
            <w:tcW w:type="dxa" w:w="3216"/>
          </w:tcPr>
          <w:p>
            <w:r>
              <w:t>CPC arts. 835, XIII, 879 a 903 (alienação), 904 (satisfação)</w:t>
            </w:r>
          </w:p>
        </w:tc>
      </w:tr>
      <w:tr>
        <w:tc>
          <w:tcPr>
            <w:tcW w:type="dxa" w:w="3216"/>
          </w:tcPr>
          <w:p>
            <w:r>
              <w:t>P3</w:t>
            </w:r>
          </w:p>
        </w:tc>
        <w:tc>
          <w:tcPr>
            <w:tcW w:type="dxa" w:w="3216"/>
          </w:tcPr>
          <w:p>
            <w:r>
              <w:t>A dicotomia "encontrado × ilíquido" é falsa. Os atributos coexistem: encontrado + ilíquido + penhorável + arrestado + transferência suspensa, sem contradição.</w:t>
            </w:r>
          </w:p>
        </w:tc>
        <w:tc>
          <w:tcPr>
            <w:tcW w:type="dxa" w:w="3216"/>
          </w:tcPr>
          <w:p>
            <w:r>
              <w:t>Decisão saneadora fls. 1370-1373; acórdão fls. 1064-1079</w:t>
            </w:r>
          </w:p>
        </w:tc>
      </w:tr>
      <w:tr>
        <w:tc>
          <w:tcPr>
            <w:tcW w:type="dxa" w:w="3216"/>
          </w:tcPr>
          <w:p>
            <w:r>
              <w:t>P4</w:t>
            </w:r>
          </w:p>
        </w:tc>
        <w:tc>
          <w:tcPr>
            <w:tcW w:type="dxa" w:w="3216"/>
          </w:tcPr>
          <w:p>
            <w:r>
              <w:t>Código de impenhorabilidade no SISBAJUD é, no caso, inexistente. Códigos devolvidos: (32), (26), (98) — nenhum compatível com a categoria do art. 833.</w:t>
            </w:r>
          </w:p>
        </w:tc>
        <w:tc>
          <w:tcPr>
            <w:tcW w:type="dxa" w:w="3216"/>
          </w:tcPr>
          <w:p>
            <w:r>
              <w:t>Recibos fls. 410, 418-419, 508-509; ordem 31/03/2026</w:t>
            </w:r>
          </w:p>
        </w:tc>
      </w:tr>
    </w:tbl>
    <w:p/>
    <w:p>
      <w:pPr>
        <w:pStyle w:val="Heading1"/>
      </w:pPr>
      <w:r>
        <w:rPr>
          <w:color w:val="1A1A1A"/>
        </w:rPr>
        <w:t>VII. Da confusão semântica à consequência factual — em tese, fraude à execução</w:t>
      </w:r>
    </w:p>
    <w:p>
      <w:pPr>
        <w:jc w:val="both"/>
      </w:pPr>
      <w:r>
        <w:rPr>
          <w:b/>
          <w:i w:val="0"/>
        </w:rPr>
        <w:t>A confusão semântica não é equívoco linguístico inócuo. Ela produz uma consequência factual: o ativo permanece formalmente sob bloqueio judicial, mas a Requerente é mantida sem qualquer fração do acervo localizado há mais de mil dias. O nome técnico desse efeito, no CPC, é frustração da execução.</w:t>
      </w:r>
    </w:p>
    <w:p>
      <w:pPr>
        <w:pStyle w:val="Heading2"/>
      </w:pPr>
      <w:r>
        <w:rPr>
          <w:color w:val="7A0C0C"/>
        </w:rPr>
        <w:t>Silogismo</w:t>
      </w:r>
    </w:p>
    <w:p>
      <w:pPr>
        <w:jc w:val="both"/>
      </w:pPr>
      <w:r>
        <w:rPr>
          <w:b w:val="0"/>
          <w:i w:val="0"/>
        </w:rPr>
        <w:t>P1 — Norma. O CPC art. 792, IV e §1º, considera fraude à execução a alienação ou oneração de bens quando, ao tempo do ato, tramitava contra o devedor demanda capaz de reduzi-lo à insolvência, ou quando havia constrição judicial conhecida.</w:t>
      </w:r>
    </w:p>
    <w:p>
      <w:pPr>
        <w:jc w:val="both"/>
      </w:pPr>
      <w:r>
        <w:rPr>
          <w:b w:val="0"/>
          <w:i w:val="0"/>
        </w:rPr>
        <w:t>P2 — Fato. Conhecida a constrição (intimação do Requerido em 13/06/2023) e ciente o Requerido da litispendência (citação em 02/05/2023), foram praticados, no curso do processo: (a) distrato da RT 127 em 05/09/2023, com distribuição de R$ 57,18 MM; (b) constituição do Bonifácio FIP em 11/02/2025; (c) reestruturação do Ajaccio em nove subclasses em 26/05/2025; (d) oferta de venda das cotas por R$ 4.778.391,19 em 20/08/2025 — 6,3% do valor patrimonial de laudo R$ 75.345.821,90.</w:t>
      </w:r>
    </w:p>
    <w:p>
      <w:pPr>
        <w:jc w:val="both"/>
      </w:pPr>
      <w:r>
        <w:rPr>
          <w:b w:val="0"/>
          <w:i w:val="0"/>
        </w:rPr>
        <w:t>P3 — Conduta processual. Em paralelo, a defesa sustenta narrativa de impenhorabilidade derivada de iliquidez, deslocando o regime do bem e obstando a efetivação da partilha.</w:t>
      </w:r>
    </w:p>
    <w:p>
      <w:pPr>
        <w:jc w:val="both"/>
      </w:pPr>
      <w:r>
        <w:rPr>
          <w:b/>
          <w:i w:val="0"/>
        </w:rPr>
        <w:t>Conclusão — em tese. O conjunto (P2 e P3) descreve, em tese, conduta cuja descrição factual atende aos elementos do art. 792, IV e §1º, do CPC, com má-fé presumida pela posterioridade aos atos processuais conhecidos. A confusão semântica é o vetor; a frustração executória é o efeito.</w:t>
      </w:r>
    </w:p>
    <w:p>
      <w:pPr>
        <w:jc w:val="both"/>
      </w:pPr>
      <w:r>
        <w:rPr>
          <w:b w:val="0"/>
          <w:i/>
        </w:rPr>
        <w:t>Descrição em tese, sob CF art. 5º, LVII. Sede própria do desdobramento penal: notícia-crime autônoma (CP art. 179 em tese; CP art. 171 em tese para indução do juízo em erro).</w:t>
      </w:r>
    </w:p>
    <w:p>
      <w:pPr>
        <w:pStyle w:val="Heading1"/>
      </w:pPr>
      <w:r>
        <w:rPr>
          <w:color w:val="1A1A1A"/>
        </w:rPr>
        <w:t>VIII. Consequência processual — o que se requer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Pedido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Fundamento</w:t>
            </w:r>
          </w:p>
        </w:tc>
      </w:tr>
      <w:tr>
        <w:tc>
          <w:tcPr>
            <w:tcW w:type="dxa" w:w="3216"/>
          </w:tcPr>
          <w:p>
            <w:r>
              <w:t>A</w:t>
            </w:r>
          </w:p>
        </w:tc>
        <w:tc>
          <w:tcPr>
            <w:tcW w:type="dxa" w:w="3216"/>
          </w:tcPr>
          <w:p>
            <w:r>
              <w:t>Declaração de incontrovérsia da existência e da comunicabilidade do ativo financeiro localizado em 16/05/2023 (R$ 84.856.714,65).</w:t>
            </w:r>
          </w:p>
        </w:tc>
        <w:tc>
          <w:tcPr>
            <w:tcW w:type="dxa" w:w="3216"/>
          </w:tcPr>
          <w:p>
            <w:r>
              <w:t>CPC art. 374, III; CC art. 1.660, I; decisão saneadora fls. 1370-1373</w:t>
            </w:r>
          </w:p>
        </w:tc>
      </w:tr>
      <w:tr>
        <w:tc>
          <w:tcPr>
            <w:tcW w:type="dxa" w:w="3216"/>
          </w:tcPr>
          <w:p>
            <w:r>
              <w:t>B</w:t>
            </w:r>
          </w:p>
        </w:tc>
        <w:tc>
          <w:tcPr>
            <w:tcW w:type="dxa" w:w="3216"/>
          </w:tcPr>
          <w:p>
            <w:r>
              <w:t>Reafirmação do regime de bloqueio das cotas — declaração de que o arresto permanece firme, e de que a "baixa liquidez" (cód. 26) não configura impenhorabilidade do CPC art. 833.</w:t>
            </w:r>
          </w:p>
        </w:tc>
        <w:tc>
          <w:tcPr>
            <w:tcW w:type="dxa" w:w="3216"/>
          </w:tcPr>
          <w:p>
            <w:r>
              <w:t>CPC arts. 502 e 503 (coisa julgada material); CPC art. 833 a contrario + 835, XIII</w:t>
            </w:r>
          </w:p>
        </w:tc>
      </w:tr>
      <w:tr>
        <w:tc>
          <w:tcPr>
            <w:tcW w:type="dxa" w:w="3216"/>
          </w:tcPr>
          <w:p>
            <w:r>
              <w:t>C</w:t>
            </w:r>
          </w:p>
        </w:tc>
        <w:tc>
          <w:tcPr>
            <w:tcW w:type="dxa" w:w="3216"/>
          </w:tcPr>
          <w:p>
            <w:r>
              <w:t>Plano de liquidação no momento adequado — alienação judicial, adjudicação pela Requerente, ou apuração de haveres. Acoplado a ofício permanente FRAM/CVM exigindo comunicação prévia de evento de liquidez, sob multa diária.</w:t>
            </w:r>
          </w:p>
        </w:tc>
        <w:tc>
          <w:tcPr>
            <w:tcW w:type="dxa" w:w="3216"/>
          </w:tcPr>
          <w:p>
            <w:r>
              <w:t>CPC arts. 879-903 + 297 e 537; RCVM 175/2022; Acordo de Cotistas Cláusula 9.7 (fls. 1330)</w:t>
            </w:r>
          </w:p>
        </w:tc>
      </w:tr>
    </w:tbl>
    <w:p/>
    <w:p>
      <w:pPr>
        <w:pStyle w:val="Heading1"/>
      </w:pPr>
      <w:r>
        <w:rPr>
          <w:color w:val="1A1A1A"/>
        </w:rPr>
        <w:t>IX. Síntese executiva — voto do parecerista</w:t>
      </w:r>
    </w:p>
    <w:p>
      <w:pPr>
        <w:jc w:val="both"/>
      </w:pPr>
      <w:r>
        <w:rPr>
          <w:b/>
          <w:i w:val="0"/>
        </w:rPr>
        <w:t>A confusão entre código operacional do SISBAJUD e categoria substantiva de impenhorabilidade é a peça central de uma estratégia defensiva que já não tem suporte normativo nem processual. A coisa julgada material do acórdão fls. 1064-1079 fixou o regime; a decisão saneadora fls. 1370-1373 o reafirmou; os embargos foram rejeitados; o trânsito em julgado consolidou-se em 10/10/2023.</w:t>
      </w:r>
    </w:p>
    <w:p>
      <w:pPr>
        <w:jc w:val="both"/>
      </w:pPr>
      <w:r>
        <w:rPr>
          <w:b w:val="0"/>
          <w:i w:val="0"/>
        </w:rPr>
        <w:t>O que resta no terreno argumentativo adversário é, exclusivamente, a tentativa de produzir, pela repetição da confusão semântica, o efeito factual que o sistema normativo não autoriza: a manutenção do patrimônio comum fora do alcance da meação por tempo indefinido. A descrição factual dessa conduta atende, em tese, aos elementos do art. 792, IV e §1º, do CPC — a frustração da execução pela via da preservação artificial de um falso impasse de regime jurídico.</w:t>
      </w:r>
    </w:p>
    <w:p>
      <w:pPr>
        <w:jc w:val="both"/>
      </w:pPr>
      <w:r>
        <w:rPr>
          <w:b/>
          <w:i w:val="0"/>
        </w:rPr>
        <w:t>O parecerista vota pela APROVAÇÃO INTEGRAL DA TESE e pela imediata postulação dos pedidos A, B e C, com a anotação de que a sede própria para o desdobramento penal eventual é a notícia-crime autônoma — não a peça cível.</w:t>
      </w:r>
    </w:p>
    <w:p>
      <w:pPr>
        <w:pStyle w:val="Heading1"/>
      </w:pPr>
      <w:r>
        <w:rPr>
          <w:color w:val="1A1A1A"/>
        </w:rPr>
        <w:t>X. Conformidade metodológica</w:t>
      </w:r>
    </w:p>
    <w:p>
      <w:pPr>
        <w:jc w:val="both"/>
      </w:pPr>
      <w:r>
        <w:rPr>
          <w:b w:val="0"/>
          <w:i w:val="0"/>
        </w:rPr>
        <w:t>CPC art. 472 — Este parecer é instrumento técnico-jurídico de apoio ao raciocínio da equipe; não é perícia oficial. Toda afirmação fática está ancorada em folhas dos autos, registro público (BACEN-CNJ; CVM; FNET; JUCESP; DOU) ou norma vigente. As qualificações jurídicas atribuídas a condutas alheias são descritas em tese, sob CF art. 5º, LVII. A correção semântico-epistemológica versa exclusivamente sobre a relação entre signos operacionais e categorias normativas, não imputa, por si só, ato ilícito a qualquer sujeito.</w:t>
      </w:r>
    </w:p>
    <w:p>
      <w:pPr>
        <w:jc w:val="both"/>
      </w:pPr>
      <w:r>
        <w:rPr>
          <w:b w:val="0"/>
          <w:i w:val="0"/>
        </w:rPr>
        <w:t>Conversão em peça subscrita por OAB e/ou laudo CRC/CORECON antes de qualquer uso processual. Pessoas físicas serão anonimizadas em qualquer versão de circulação externa.</w:t>
      </w:r>
    </w:p>
    <w:p>
      <w:pPr>
        <w:pStyle w:val="Heading1"/>
      </w:pPr>
      <w:r>
        <w:rPr>
          <w:color w:val="1A1A1A"/>
        </w:rPr>
        <w:t>Referências documentais oficiais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Referências</w:t>
            </w:r>
          </w:p>
        </w:tc>
      </w:tr>
      <w:tr>
        <w:tc>
          <w:tcPr>
            <w:tcW w:type="dxa" w:w="4824"/>
          </w:tcPr>
          <w:p>
            <w:r>
              <w:t>Folhas dos autos</w:t>
            </w:r>
          </w:p>
        </w:tc>
        <w:tc>
          <w:tcPr>
            <w:tcW w:type="dxa" w:w="4824"/>
          </w:tcPr>
          <w:p>
            <w:r>
              <w:t>fls. 1 · 22-23 · 399 · 410, 416, 418-419 · 486-488 · 508-509 · 530 · 569, 572, 574-575 · 761 · 988 · 1064-1079 (acórdão t.j. 10/10/2023) · 1089 · 1166, 1173-1174, 1196 · 1262, 1270 · 1276 · 1330 (Acordo de Cotistas Cláusula 9.7) · 1370-1373 (decisão saneadora 02/09/2024) · 1392-1404 (embargos) · 1405-1406 (rejeição 08/11/2024) · 1723 (revelia) · 1729 (oferta de venda) · 1733 (laudo) · fls. 123 do conexo (SISBAJUD 31/03/2026)</w:t>
            </w:r>
          </w:p>
        </w:tc>
      </w:tr>
      <w:tr>
        <w:tc>
          <w:tcPr>
            <w:tcW w:type="dxa" w:w="4824"/>
          </w:tcPr>
          <w:p>
            <w:r>
              <w:t>Acórdãos</w:t>
            </w:r>
          </w:p>
        </w:tc>
        <w:tc>
          <w:tcPr>
            <w:tcW w:type="dxa" w:w="4824"/>
          </w:tcPr>
          <w:p>
            <w:r>
              <w:t>TJSP — AI 2157767-67; fls. 1064-1079 (trânsito em julgado em 10/10/2023)</w:t>
            </w:r>
          </w:p>
        </w:tc>
      </w:tr>
      <w:tr>
        <w:tc>
          <w:tcPr>
            <w:tcW w:type="dxa" w:w="4824"/>
          </w:tcPr>
          <w:p>
            <w:r>
              <w:t>Atos administrativos</w:t>
            </w:r>
          </w:p>
        </w:tc>
        <w:tc>
          <w:tcPr>
            <w:tcW w:type="dxa" w:w="4824"/>
          </w:tcPr>
          <w:p>
            <w:r>
              <w:t>Resolução CNJ 232/2016; Manual Operacional do SISBAJUD; Convênio BACEN-CNJ</w:t>
            </w:r>
          </w:p>
        </w:tc>
      </w:tr>
      <w:tr>
        <w:tc>
          <w:tcPr>
            <w:tcW w:type="dxa" w:w="4824"/>
          </w:tcPr>
          <w:p>
            <w:r>
              <w:t>Normas</w:t>
            </w:r>
          </w:p>
        </w:tc>
        <w:tc>
          <w:tcPr>
            <w:tcW w:type="dxa" w:w="4824"/>
          </w:tcPr>
          <w:p>
            <w:r>
              <w:t>CF art. 5º, LVII e LXXVIII; CC arts. 1.658, 1.659, 1.660 I, 1.642, 1.647; CPC arts. 344, 357, 373 II, 374 III, 472, 502-503, 533, 537, 792 IV e §1º, 833, 835 XIII, 854, 879-903, 904; CP arts. 171 e 179 (em sede própria); Lei 9.613/1998 (em sede própria); RCVM 175/2022</w:t>
            </w:r>
          </w:p>
        </w:tc>
      </w:tr>
    </w:tbl>
    <w:p/>
    <w:p>
      <w:pPr>
        <w:jc w:val="center"/>
      </w:pPr>
      <w:r>
        <w:rPr>
          <w:i/>
          <w:sz w:val="17"/>
        </w:rPr>
        <w:t>Série DOSSIÊS E NOTAS TÉCNICAS — documento 16 · Versão 1.0 · 14/06/2026 · INSTRUMENTO INTERNO · CONFIDENCIAL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