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TESE v4 · PATCH JURISPRUDENCIAL VERIFICADO</w:t>
      </w:r>
    </w:p>
    <w:p>
      <w:pPr>
        <w:jc w:val="center"/>
      </w:pPr>
      <w:r>
        <w:rPr>
          <w:i/>
          <w:sz w:val="19"/>
        </w:rPr>
        <w:t>STJ Tema 1.235 + Tema 913 + REsp 1.943.625/DF + TJPR AI 0048238-92.2024</w:t>
        <w:br/>
        <w:t>Autos 1006744-58.2023.8.26.0011 · 1ª VF Pinheiros/SP · Emissão 14/06/2026 · Patch v4</w:t>
        <w:br/>
        <w:t>Sucede e complementa Docs. 16, 17 e 18 · CONFIDENCIAL</w:t>
      </w:r>
    </w:p>
    <w:p>
      <w:pPr>
        <w:pStyle w:val="Heading1"/>
      </w:pPr>
      <w:r>
        <w:rPr>
          <w:color w:val="1A1A1A"/>
        </w:rPr>
        <w:t>I. Endosso recebido e duas correções críticas</w:t>
      </w:r>
    </w:p>
    <w:p>
      <w:pPr>
        <w:jc w:val="both"/>
      </w:pPr>
      <w:r>
        <w:rPr>
          <w:b w:val="0"/>
          <w:i w:val="0"/>
        </w:rPr>
        <w:t>O Relator Jurisprudencial endossou a tese como "substancialmente correta" e identificou duas falhas operacionais que precisam ser sanadas antes do protocolo:</w:t>
      </w:r>
    </w:p>
    <w:p>
      <w:pPr>
        <w:jc w:val="both"/>
      </w:pPr>
      <w:r>
        <w:rPr>
          <w:b w:val="0"/>
          <w:i w:val="0"/>
        </w:rPr>
        <w:t>1. Citações jurisprudenciais não verificáveis em insumos prévios — AREsp 2.420.370 (matéria tributária, Município de Natal); processos do TJDFT (0704988-88.2023 e 0702844-33.2022) não localizados; processo do TJSP (1003243-90.2023) sem acórdão publicado.</w:t>
      </w:r>
    </w:p>
    <w:p>
      <w:pPr>
        <w:jc w:val="both"/>
      </w:pPr>
      <w:r>
        <w:rPr>
          <w:b w:val="0"/>
          <w:i w:val="0"/>
        </w:rPr>
        <w:t>2. O código SISBAJUD correspondente a "baixa liquidez" é 42 conforme a Portaria CNJ nº 3, de 14/10/2024 — não 26 (que aparece em insumo paralelo).</w:t>
      </w:r>
    </w:p>
    <w:p>
      <w:pPr>
        <w:jc w:val="both"/>
      </w:pPr>
      <w:r>
        <w:rPr>
          <w:b/>
          <w:i w:val="0"/>
        </w:rPr>
        <w:t>Ambas as correções são incorporadas neste patch, e a tese sai mais forte do exercício de verificação.</w:t>
      </w:r>
    </w:p>
    <w:p>
      <w:pPr>
        <w:pStyle w:val="Heading1"/>
      </w:pPr>
      <w:r>
        <w:rPr>
          <w:color w:val="1A1A1A"/>
        </w:rPr>
        <w:t>II. Correção jurisprudencial — fontes substituídas</w:t>
      </w:r>
    </w:p>
    <w:p>
      <w:pPr>
        <w:pStyle w:val="Heading2"/>
      </w:pPr>
      <w:r>
        <w:rPr>
          <w:color w:val="7A0C0C"/>
        </w:rPr>
        <w:t>II.1 Alerta — citações a serem REMOVIDAS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Citação anterior</w:t>
            </w:r>
          </w:p>
        </w:tc>
        <w:tc>
          <w:tcPr>
            <w:tcW w:type="dxa" w:w="3216"/>
          </w:tcPr>
          <w:p>
            <w:r>
              <w:rPr>
                <w:b/>
              </w:rPr>
              <w:t>Verificação</w:t>
            </w:r>
          </w:p>
        </w:tc>
        <w:tc>
          <w:tcPr>
            <w:tcW w:type="dxa" w:w="3216"/>
          </w:tcPr>
          <w:p>
            <w:r>
              <w:rPr>
                <w:b/>
              </w:rPr>
              <w:t>Risco</w:t>
            </w:r>
          </w:p>
        </w:tc>
      </w:tr>
      <w:tr>
        <w:tc>
          <w:tcPr>
            <w:tcW w:type="dxa" w:w="3216"/>
          </w:tcPr>
          <w:p>
            <w:r>
              <w:t>STJ — AREsp 2.420.370</w:t>
            </w:r>
          </w:p>
        </w:tc>
        <w:tc>
          <w:tcPr>
            <w:tcW w:type="dxa" w:w="3216"/>
          </w:tcPr>
          <w:p>
            <w:r>
              <w:t>Trata de matéria tributária (Município de Natal × SAL Empreendimentos)</w:t>
            </w:r>
          </w:p>
        </w:tc>
        <w:tc>
          <w:tcPr>
            <w:tcW w:type="dxa" w:w="3216"/>
          </w:tcPr>
          <w:p>
            <w:r>
              <w:t>Erro técnico grave; comprometimento da credibilidade</w:t>
            </w:r>
          </w:p>
        </w:tc>
      </w:tr>
      <w:tr>
        <w:tc>
          <w:tcPr>
            <w:tcW w:type="dxa" w:w="3216"/>
          </w:tcPr>
          <w:p>
            <w:r>
              <w:t>TJDFT — 0704988-88.2023.8.07.0016</w:t>
            </w:r>
          </w:p>
        </w:tc>
        <w:tc>
          <w:tcPr>
            <w:tcW w:type="dxa" w:w="3216"/>
          </w:tcPr>
          <w:p>
            <w:r>
              <w:t>Não localizado nos portais oficiais</w:t>
            </w:r>
          </w:p>
        </w:tc>
        <w:tc>
          <w:tcPr>
            <w:tcW w:type="dxa" w:w="3216"/>
          </w:tcPr>
          <w:p>
            <w:r>
              <w:t>Risco de número fictício</w:t>
            </w:r>
          </w:p>
        </w:tc>
      </w:tr>
      <w:tr>
        <w:tc>
          <w:tcPr>
            <w:tcW w:type="dxa" w:w="3216"/>
          </w:tcPr>
          <w:p>
            <w:r>
              <w:t>TJDFT — 0702844-33.2022.8.07.0016</w:t>
            </w:r>
          </w:p>
        </w:tc>
        <w:tc>
          <w:tcPr>
            <w:tcW w:type="dxa" w:w="3216"/>
          </w:tcPr>
          <w:p>
            <w:r>
              <w:t>Não localizado</w:t>
            </w:r>
          </w:p>
        </w:tc>
        <w:tc>
          <w:tcPr>
            <w:tcW w:type="dxa" w:w="3216"/>
          </w:tcPr>
          <w:p>
            <w:r>
              <w:t>Idem</w:t>
            </w:r>
          </w:p>
        </w:tc>
      </w:tr>
      <w:tr>
        <w:tc>
          <w:tcPr>
            <w:tcW w:type="dxa" w:w="3216"/>
          </w:tcPr>
          <w:p>
            <w:r>
              <w:t>TJSP — 1003243-90.2023.8.26.0051</w:t>
            </w:r>
          </w:p>
        </w:tc>
        <w:tc>
          <w:tcPr>
            <w:tcW w:type="dxa" w:w="3216"/>
          </w:tcPr>
          <w:p>
            <w:r>
              <w:t>e-SAJ retorna zero acórdãos</w:t>
            </w:r>
          </w:p>
        </w:tc>
        <w:tc>
          <w:tcPr>
            <w:tcW w:type="dxa" w:w="3216"/>
          </w:tcPr>
          <w:p>
            <w:r>
              <w:t>Pode ser feito de 1º grau ou número incorreto</w:t>
            </w:r>
          </w:p>
        </w:tc>
      </w:tr>
    </w:tbl>
    <w:p/>
    <w:p>
      <w:pPr>
        <w:pStyle w:val="Heading2"/>
      </w:pPr>
      <w:r>
        <w:rPr>
          <w:color w:val="7A0C0C"/>
        </w:rPr>
        <w:t>II.2 Ancoragem verificada — substituições</w:t>
      </w:r>
    </w:p>
    <w:tbl>
      <w:tblPr>
        <w:tblStyle w:val="LightGrid-Accent1"/>
        <w:tblW w:type="auto" w:w="0"/>
        <w:tblLook w:firstColumn="1" w:firstRow="1" w:lastColumn="0" w:lastRow="0" w:noHBand="0" w:noVBand="1" w:val="04A0"/>
      </w:tblPr>
      <w:tblGrid>
        <w:gridCol w:w="4824"/>
        <w:gridCol w:w="4824"/>
      </w:tblGrid>
      <w:tr>
        <w:tc>
          <w:tcPr>
            <w:tcW w:type="dxa" w:w="4824"/>
          </w:tcPr>
          <w:p>
            <w:r>
              <w:rPr>
                <w:b/>
              </w:rPr>
              <w:t>Tese sustentada</w:t>
            </w:r>
          </w:p>
        </w:tc>
        <w:tc>
          <w:tcPr>
            <w:tcW w:type="dxa" w:w="4824"/>
          </w:tcPr>
          <w:p>
            <w:r>
              <w:rPr>
                <w:b/>
              </w:rPr>
              <w:t>Precedente verificado</w:t>
            </w:r>
          </w:p>
        </w:tc>
      </w:tr>
      <w:tr>
        <w:tc>
          <w:tcPr>
            <w:tcW w:type="dxa" w:w="4824"/>
          </w:tcPr>
          <w:p>
            <w:r>
              <w:t>Presunção de esforço comum + incomunicabilidade como matéria de defesa</w:t>
            </w:r>
          </w:p>
        </w:tc>
        <w:tc>
          <w:tcPr>
            <w:tcW w:type="dxa" w:w="4824"/>
          </w:tcPr>
          <w:p>
            <w:r>
              <w:t>STJ — REsp 1.943.625/DF — Rel. Min. Humberto Martins — 3ª Turma — j. 05/05/2025 — DJEN 08/05/2025</w:t>
            </w:r>
          </w:p>
        </w:tc>
      </w:tr>
      <w:tr>
        <w:tc>
          <w:tcPr>
            <w:tcW w:type="dxa" w:w="4824"/>
          </w:tcPr>
          <w:p>
            <w:r>
              <w:t>Paradigma do regime de comunhão parcial</w:t>
            </w:r>
          </w:p>
        </w:tc>
        <w:tc>
          <w:tcPr>
            <w:tcW w:type="dxa" w:w="4824"/>
          </w:tcPr>
          <w:p>
            <w:r>
              <w:t>STJ — REsp 1.024.169/RS — Rel. Min. Nancy Andrighi — 3ª Turma — j. 13/04/2010 — DJe 28/04/2010</w:t>
            </w:r>
          </w:p>
        </w:tc>
      </w:tr>
      <w:tr>
        <w:tc>
          <w:tcPr>
            <w:tcW w:type="dxa" w:w="4824"/>
          </w:tcPr>
          <w:p>
            <w:r>
              <w:t>Impenhorabilidade não é matéria de ordem pública; exige arguição e decisão expressa</w:t>
            </w:r>
          </w:p>
        </w:tc>
        <w:tc>
          <w:tcPr>
            <w:tcW w:type="dxa" w:w="4824"/>
          </w:tcPr>
          <w:p>
            <w:r>
              <w:t>STJ — Tema 1.235 (Corte Especial) — REsp 2.061.973/PR e REsp 2.066.882/RS — Rel. Min. Nancy Andrighi — j. 02/10/2024</w:t>
            </w:r>
          </w:p>
        </w:tc>
      </w:tr>
      <w:tr>
        <w:tc>
          <w:tcPr>
            <w:tcW w:type="dxa" w:w="4824"/>
          </w:tcPr>
          <w:p>
            <w:r>
              <w:t>Cotas de fundo de investimento são valores mobiliários penhoráveis</w:t>
            </w:r>
          </w:p>
        </w:tc>
        <w:tc>
          <w:tcPr>
            <w:tcW w:type="dxa" w:w="4824"/>
          </w:tcPr>
          <w:p>
            <w:r>
              <w:t>STJ — Tema 913</w:t>
            </w:r>
          </w:p>
        </w:tc>
      </w:tr>
      <w:tr>
        <w:tc>
          <w:tcPr>
            <w:tcW w:type="dxa" w:w="4824"/>
          </w:tcPr>
          <w:p>
            <w:r>
              <w:t>Bloqueio da titularidade × suspensão da transferência</w:t>
            </w:r>
          </w:p>
        </w:tc>
        <w:tc>
          <w:tcPr>
            <w:tcW w:type="dxa" w:w="4824"/>
          </w:tcPr>
          <w:p>
            <w:r>
              <w:t>STJ — REsp 1.885.119/RJ — Rel. Min. Marco Aurélio Bellizze — 3ª Turma — 2022</w:t>
            </w:r>
          </w:p>
        </w:tc>
      </w:tr>
      <w:tr>
        <w:tc>
          <w:tcPr>
            <w:tcW w:type="dxa" w:w="4824"/>
          </w:tcPr>
          <w:p>
            <w:r>
              <w:t>FIP como condomínio fechado — natureza e constrição</w:t>
            </w:r>
          </w:p>
        </w:tc>
        <w:tc>
          <w:tcPr>
            <w:tcW w:type="dxa" w:w="4824"/>
          </w:tcPr>
          <w:p>
            <w:r>
              <w:t>STJ — REsp 1.965.982/SP — Rel. Min. Ricardo Villas Bôas Cueva — 3ª Turma — j. 05/04/2022 — DJe 08/04/2022 — Informativo 733</w:t>
            </w:r>
          </w:p>
        </w:tc>
      </w:tr>
      <w:tr>
        <w:tc>
          <w:tcPr>
            <w:tcW w:type="dxa" w:w="4824"/>
          </w:tcPr>
          <w:p>
            <w:r>
              <w:t>Meação de lucros e dividendos desde a separação de fato</w:t>
            </w:r>
          </w:p>
        </w:tc>
        <w:tc>
          <w:tcPr>
            <w:tcW w:type="dxa" w:w="4824"/>
          </w:tcPr>
          <w:p>
            <w:r>
              <w:t>STJ — REsp 2.223.719/SP — Rel. Min. Nancy Andrighi — 3ª Turma — j. 02/09/2025 — DJEN 08/09/2025 — Informativo 864</w:t>
            </w:r>
          </w:p>
        </w:tc>
      </w:tr>
      <w:tr>
        <w:tc>
          <w:tcPr>
            <w:tcW w:type="dxa" w:w="4824"/>
          </w:tcPr>
          <w:p>
            <w:r>
              <w:t>Multa em pedido de exibição (CPC/2015)</w:t>
            </w:r>
          </w:p>
        </w:tc>
        <w:tc>
          <w:tcPr>
            <w:tcW w:type="dxa" w:w="4824"/>
          </w:tcPr>
          <w:p>
            <w:r>
              <w:t>STJ — REsp 1.777.553/SP — 2ª Seção</w:t>
            </w:r>
          </w:p>
        </w:tc>
      </w:tr>
      <w:tr>
        <w:tc>
          <w:tcPr>
            <w:tcW w:type="dxa" w:w="4824"/>
          </w:tcPr>
          <w:p>
            <w:r>
              <w:t>Violência patrimonial por ocultação na partilha — vara cível</w:t>
            </w:r>
          </w:p>
        </w:tc>
        <w:tc>
          <w:tcPr>
            <w:tcW w:type="dxa" w:w="4824"/>
          </w:tcPr>
          <w:p>
            <w:r>
              <w:t>TJPR — AI 0048238-92.2024.8.16.0000 — 12ª Câmara Cível — Rel. Des. Eduardo Augusto Salomão Cambi — j. 30/09/2024</w:t>
            </w:r>
          </w:p>
        </w:tc>
      </w:tr>
      <w:tr>
        <w:tc>
          <w:tcPr>
            <w:tcW w:type="dxa" w:w="4824"/>
          </w:tcPr>
          <w:p>
            <w:r>
              <w:t>Vício de consentimento por violência doméstica em partilha</w:t>
            </w:r>
          </w:p>
        </w:tc>
        <w:tc>
          <w:tcPr>
            <w:tcW w:type="dxa" w:w="4824"/>
          </w:tcPr>
          <w:p>
            <w:r>
              <w:t>TJMG — Apelação Cível 1.0000.23.256061-5/001 — 4ª Câmara Cível Especializada — Rel. Des. Alice Birchal (2024)</w:t>
            </w:r>
          </w:p>
        </w:tc>
      </w:tr>
      <w:tr>
        <w:tc>
          <w:tcPr>
            <w:tcW w:type="dxa" w:w="4824"/>
          </w:tcPr>
          <w:p>
            <w:r>
              <w:t>Reserva sobre fraude à execução</w:t>
            </w:r>
          </w:p>
        </w:tc>
        <w:tc>
          <w:tcPr>
            <w:tcW w:type="dxa" w:w="4824"/>
          </w:tcPr>
          <w:p>
            <w:r>
              <w:t>STJ — Súmula 375 + Tema 243 (REsp 956.943/PR)</w:t>
            </w:r>
          </w:p>
        </w:tc>
      </w:tr>
    </w:tbl>
    <w:p/>
    <w:p>
      <w:pPr>
        <w:jc w:val="both"/>
      </w:pPr>
      <w:r>
        <w:rPr>
          <w:b w:val="0"/>
          <w:i/>
        </w:rPr>
        <w:t>Recomendação: antes de qualquer protocolo, conferir o inteiro teor de cada acórdão indicado diretamente no SCON/STJ (escla.stj.jus.br) e no eSAJ/TJSP.</w:t>
      </w:r>
    </w:p>
    <w:p>
      <w:pPr>
        <w:pStyle w:val="Heading1"/>
      </w:pPr>
      <w:r>
        <w:rPr>
          <w:color w:val="1A1A1A"/>
        </w:rPr>
        <w:t>III. Correção do código SISBAJUD — resolução transparente do conflito 26 × 42</w:t>
      </w:r>
    </w:p>
    <w:p>
      <w:pPr>
        <w:jc w:val="both"/>
      </w:pPr>
      <w:r>
        <w:rPr>
          <w:b w:val="0"/>
          <w:i w:val="0"/>
        </w:rPr>
        <w:t>Dois insumos paralelos divergem: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Insumo</w:t>
            </w:r>
          </w:p>
        </w:tc>
        <w:tc>
          <w:tcPr>
            <w:tcW w:type="dxa" w:w="3216"/>
          </w:tcPr>
          <w:p>
            <w:r>
              <w:rPr>
                <w:b/>
              </w:rPr>
              <w:t>Tese</w:t>
            </w:r>
          </w:p>
        </w:tc>
        <w:tc>
          <w:tcPr>
            <w:tcW w:type="dxa" w:w="3216"/>
          </w:tcPr>
          <w:p>
            <w:r>
              <w:rPr>
                <w:b/>
              </w:rPr>
              <w:t>Fonte</w:t>
            </w:r>
          </w:p>
        </w:tc>
      </w:tr>
      <w:tr>
        <w:tc>
          <w:tcPr>
            <w:tcW w:type="dxa" w:w="3216"/>
          </w:tcPr>
          <w:p>
            <w:r>
              <w:t>Parecer Técnico-Contábil-Jurídico</w:t>
            </w:r>
          </w:p>
        </w:tc>
        <w:tc>
          <w:tcPr>
            <w:tcW w:type="dxa" w:w="3216"/>
          </w:tcPr>
          <w:p>
            <w:r>
              <w:t>Código devolvido foi 26 (Bloqueio efetuado em ativo de baixa liquidez)</w:t>
            </w:r>
          </w:p>
        </w:tc>
        <w:tc>
          <w:tcPr>
            <w:tcW w:type="dxa" w:w="3216"/>
          </w:tcPr>
          <w:p>
            <w:r>
              <w:t>Leitura literal dos recibos</w:t>
            </w:r>
          </w:p>
        </w:tc>
      </w:tr>
      <w:tr>
        <w:tc>
          <w:tcPr>
            <w:tcW w:type="dxa" w:w="3216"/>
          </w:tcPr>
          <w:p>
            <w:r>
              <w:t>Pesquisa jurisprudencial-normativa</w:t>
            </w:r>
          </w:p>
        </w:tc>
        <w:tc>
          <w:tcPr>
            <w:tcW w:type="dxa" w:w="3216"/>
          </w:tcPr>
          <w:p>
            <w:r>
              <w:t>O código correspondente a baixa liquidez é 42 (Venda/liquidação/resgate não realizados)</w:t>
            </w:r>
          </w:p>
        </w:tc>
        <w:tc>
          <w:tcPr>
            <w:tcW w:type="dxa" w:w="3216"/>
          </w:tcPr>
          <w:p>
            <w:r>
              <w:t>Portaria CNJ nº 3, de 14/10/2024; documentação técnica PDPJ/CNJ</w:t>
            </w:r>
          </w:p>
        </w:tc>
      </w:tr>
    </w:tbl>
    <w:p/>
    <w:p>
      <w:pPr>
        <w:jc w:val="both"/>
      </w:pPr>
      <w:r>
        <w:rPr>
          <w:b w:val="0"/>
          <w:i w:val="0"/>
        </w:rPr>
        <w:t>A divergência é provavelmente histórica: a Portaria CNJ 3/2024 padronizou a tabela com nomenclatura distinta de versões anteriores. Em ordens de 2023 (fls. 410, 418, 490, 493), o código devolvido pode ter sido lançado conforme a tabela então vigente; em ordens posteriores a 14/10/2024 (caso da ordem de 31/03/2026 no processo conexo), o código corresponde ao 42.</w:t>
      </w:r>
    </w:p>
    <w:p>
      <w:pPr>
        <w:pStyle w:val="Heading2"/>
      </w:pPr>
      <w:r>
        <w:rPr>
          <w:color w:val="7A0C0C"/>
        </w:rPr>
        <w:t>Solução incorporada — aplicação do sanatório nº 1 (Doc. 17 v2)</w:t>
      </w:r>
    </w:p>
    <w:p>
      <w:pPr>
        <w:jc w:val="both"/>
      </w:pPr>
      <w:r>
        <w:rPr>
          <w:b w:val="0"/>
          <w:i w:val="0"/>
        </w:rPr>
        <w:t>A tese NÃO deve ancorar-se na interpretação de códigos numéricos. A força reside em três fatos processuais incontroversos:</w:t>
      </w:r>
    </w:p>
    <w:p>
      <w:pPr>
        <w:jc w:val="both"/>
      </w:pPr>
      <w:r>
        <w:rPr>
          <w:b w:val="0"/>
          <w:i w:val="0"/>
        </w:rPr>
        <w:t>1. NÃO HÁ, nos autos, qualquer devolução por impenhorabilidade, sob qualquer numeração de código;</w:t>
      </w:r>
    </w:p>
    <w:p>
      <w:pPr>
        <w:jc w:val="both"/>
      </w:pPr>
      <w:r>
        <w:rPr>
          <w:b w:val="0"/>
          <w:i w:val="0"/>
        </w:rPr>
        <w:t>2. NÃO HÁ arguição específica de impenhorabilidade pelo Requerido (CPC art. 854, §3º), sob qualquer dos códigos do art. 833;</w:t>
      </w:r>
    </w:p>
    <w:p>
      <w:pPr>
        <w:jc w:val="both"/>
      </w:pPr>
      <w:r>
        <w:rPr>
          <w:b w:val="0"/>
          <w:i w:val="0"/>
        </w:rPr>
        <w:t>3. NÃO HÁ decisão judicial reconhecendo impenhorabilidade — ao contrário: o acórdão fls. 1064-1079 (t.j. 10/10/2023) MANTÉM o bloqueio das cotas até o momento adequado de liquidação.</w:t>
      </w:r>
    </w:p>
    <w:p>
      <w:pPr>
        <w:jc w:val="both"/>
      </w:pPr>
      <w:r>
        <w:rPr>
          <w:b/>
          <w:i w:val="0"/>
        </w:rPr>
        <w:t>A glosa oficial da Portaria CNJ 3/2024 sobre o código 42 é poderosíssima: "O resultado encaminhado pela instituição deixa claro que não houve bloqueio de valores. Maiores detalhes devem ser indagados diretamente à instituição, tendo em vista que o Sisbajud não possui ingerência no cumprimento das ordens judiciais, se resumindo a funcionar como meio automatizado." O próprio CNJ reconhece que o código é resposta operacional da instituição, não declaração de natureza jurídica.</w:t>
      </w:r>
    </w:p>
    <w:p>
      <w:pPr>
        <w:pStyle w:val="Heading1"/>
      </w:pPr>
      <w:r>
        <w:rPr>
          <w:color w:val="1A1A1A"/>
        </w:rPr>
        <w:t>IV. A tese consolidada — fundamentação atualizada</w:t>
      </w:r>
    </w:p>
    <w:p>
      <w:pPr>
        <w:pStyle w:val="Heading2"/>
      </w:pPr>
      <w:r>
        <w:rPr>
          <w:color w:val="7A0C0C"/>
        </w:rPr>
        <w:t>IV.1 Presunção de comunicabilidade (REsp 1.943.625/DF + REsp 1.024.169/RS)</w:t>
      </w:r>
    </w:p>
    <w:p>
      <w:pPr>
        <w:jc w:val="both"/>
      </w:pPr>
      <w:r>
        <w:rPr>
          <w:b w:val="0"/>
          <w:i w:val="0"/>
        </w:rPr>
        <w:t>O acervo identificado pelo SISBAJUD em 16/05/2023 (R$ 84.856.714,65 — fls. 418) integra patrimônio existente DENTRO da constância (11/08/2012 a 30/05/2023, marco fixado em saneamento — fls. 1370-1373). Opera a presunção do art. 1.660, I, do CC. O REsp 1.943.625/DF (Rel. Min. Humberto Martins, 3ª Turma, j. 05/05/2025) LITERALMENTE traduz a tese: o esforço comum é presumível; a incomunicabilidade é matéria de defesa, com ônus probatório do Requerido em momento oportuno.</w:t>
      </w:r>
    </w:p>
    <w:p>
      <w:pPr>
        <w:pStyle w:val="Heading2"/>
      </w:pPr>
      <w:r>
        <w:rPr>
          <w:color w:val="7A0C0C"/>
        </w:rPr>
        <w:t>IV.2 Penhorabilidade firme das cotas (Tema 913 + REsp 1.965.982/SP)</w:t>
      </w:r>
    </w:p>
    <w:p>
      <w:pPr>
        <w:jc w:val="both"/>
      </w:pPr>
      <w:r>
        <w:rPr>
          <w:b w:val="0"/>
          <w:i w:val="0"/>
        </w:rPr>
        <w:t>O Tema 913/STJ assenta que cotas de fundo são valores mobiliários penhoráveis (Lei 6.385/76 art. 2º V; CPC art. 835 III e IX). O REsp 1.965.982/SP (Informativo 733) confirma que o FIP titulariza direitos e suas cotas podem sofrer constrição. A peça defensiva fls. 569/575 invoca exatamente o Tema 913 — mas a leitura íntegra do precedente joga CONTRA a defesa (distinguishing já apontado em Doc 17 v2).</w:t>
      </w:r>
    </w:p>
    <w:p>
      <w:pPr>
        <w:pStyle w:val="Heading2"/>
      </w:pPr>
      <w:r>
        <w:rPr>
          <w:color w:val="7A0C0C"/>
        </w:rPr>
        <w:t>IV.3 Impenhorabilidade não se presume (Tema 1.235 + CPC art. 854, §3º)</w:t>
      </w:r>
    </w:p>
    <w:p>
      <w:pPr>
        <w:jc w:val="both"/>
      </w:pPr>
      <w:r>
        <w:rPr>
          <w:b/>
          <w:i w:val="0"/>
        </w:rPr>
        <w:t>STJ Corte Especial, no Tema 1.235 (j. 02/10/2024), fixou que a impenhorabilidade não é matéria de ordem pública e não pode ser reconhecida de ofício. Nada disso ocorreu nos autos: o tema está preclusamente resolvido em favor da constrição, por força do acórdão fls. 1064-1079 (t.j. 10/10/2023).</w:t>
      </w:r>
    </w:p>
    <w:p>
      <w:pPr>
        <w:pStyle w:val="Heading2"/>
      </w:pPr>
      <w:r>
        <w:rPr>
          <w:color w:val="7A0C0C"/>
        </w:rPr>
        <w:t>IV.4 Bloqueio da titularidade × suspensão da transferência (REsp 1.885.119/RJ)</w:t>
      </w:r>
    </w:p>
    <w:p>
      <w:pPr>
        <w:jc w:val="both"/>
      </w:pPr>
      <w:r>
        <w:rPr>
          <w:b w:val="0"/>
          <w:i w:val="0"/>
        </w:rPr>
        <w:t>O REsp 1.885.119/RJ (Marco Aurélio Bellizze, 2022) cinde dois planos: penhora/arresto incide sobre a cota e confere ao credor "mero direito de preferência e de sequela", sem transferir a propriedade. A iliquidez afeta o MOMENTO e a FORMA da realização (rito CPC art. 861) — jamais a EXISTÊNCIA da penhora. Esta é exatamente a moldura adotada pelo acórdão fls. 1064-1079.</w:t>
      </w:r>
    </w:p>
    <w:p>
      <w:pPr>
        <w:pStyle w:val="Heading2"/>
      </w:pPr>
      <w:r>
        <w:rPr>
          <w:color w:val="7A0C0C"/>
        </w:rPr>
        <w:t>IV.5 Meação de lucros e dividendos (REsp 2.223.719/SP)</w:t>
      </w:r>
    </w:p>
    <w:p>
      <w:pPr>
        <w:jc w:val="both"/>
      </w:pPr>
      <w:r>
        <w:rPr>
          <w:b w:val="0"/>
          <w:i w:val="0"/>
        </w:rPr>
        <w:t>REsp 2.223.719/SP (Nancy Andrighi, 3ª Turma, j. 02/09/2025, Info 864): ao cônjuge não sócio é garantida a meação dos lucros e dividendos distribuídos desde a data da separação de fato. Aplicado ao caso em conjunto com a Cláusula 9.7 do Acordo de Cotistas (fls. 1330), abre via para alcançar quaisquer distribuições ocorridas a partir de 30/05/2023.</w:t>
      </w:r>
    </w:p>
    <w:p>
      <w:pPr>
        <w:pStyle w:val="Heading2"/>
      </w:pPr>
      <w:r>
        <w:rPr>
          <w:color w:val="7A0C0C"/>
        </w:rPr>
        <w:t>IV.6 Violência patrimonial em vara cível (TJPR AI 0048238-92.2024)</w:t>
      </w:r>
    </w:p>
    <w:p>
      <w:pPr>
        <w:jc w:val="both"/>
      </w:pPr>
      <w:r>
        <w:rPr>
          <w:b/>
          <w:i w:val="0"/>
        </w:rPr>
        <w:t>O TJPR firmou, em precedente nominado DIRETO: "A dissipação e/ou a ocultação do patrimônio a ser partilhado (...) configura hipótese de violência doméstica patrimonial contra a ex-mulher, e enseja a proteção jurídica tanto da Convenção de Belém do Pará quanto da Lei 11.340/06 (Maria da Penha) para o Direito das Famílias." É o precedente exato para sustentar o Pedido F do Doc 18 (v3), com a vantagem de ser APLICAÇÃO EM VARA CÍVEL — padrão hermenêutico, não executoriedade.</w:t>
      </w:r>
    </w:p>
    <w:p>
      <w:pPr>
        <w:pStyle w:val="Heading2"/>
      </w:pPr>
      <w:r>
        <w:rPr>
          <w:color w:val="7A0C0C"/>
        </w:rPr>
        <w:t>IV.7 Reserva instrumental sobre fraude à execução (Súmula 375 + Tema 243)</w:t>
      </w:r>
    </w:p>
    <w:p>
      <w:pPr>
        <w:jc w:val="both"/>
      </w:pPr>
      <w:r>
        <w:rPr>
          <w:b w:val="0"/>
          <w:i w:val="0"/>
        </w:rPr>
        <w:t>A Súmula 375/STJ e o Tema 243 (REsp 956.943/PR) exigem registro da penhora ou prova de má-fé do terceiro para fraude à execução. Razão a mais para tratar a "fraude à execução" como FUNDAMENTO INSTRUMENTAL (tutela cautelar, redistribuição do ônus, exibição com cominação) — não como pedido autônomo de declaração na fase de partilha.</w:t>
      </w:r>
    </w:p>
    <w:p>
      <w:pPr>
        <w:pStyle w:val="Heading1"/>
      </w:pPr>
      <w:r>
        <w:rPr>
          <w:color w:val="1A1A1A"/>
        </w:rPr>
        <w:t>V. Rito de liquidação — CPC art. 861</w:t>
      </w:r>
    </w:p>
    <w:p>
      <w:pPr>
        <w:jc w:val="both"/>
      </w:pPr>
      <w:r>
        <w:rPr>
          <w:b w:val="0"/>
          <w:i w:val="0"/>
        </w:rPr>
        <w:t>Penhoradas as cotas (já o estão), o juízo assina prazo não superior a 3 meses para: (I) balanço especial; (II) oferta aos demais cotistas; (III) liquidação com depósito. A sociedade/fundo pode adquirir as cotas para evitar liquidação (§1º); o juiz pode nomear administrador (§3º); persistindo o impasse, cabe leilão judicial (§5º).</w:t>
      </w:r>
    </w:p>
    <w:p>
      <w:pPr>
        <w:jc w:val="both"/>
      </w:pPr>
      <w:r>
        <w:rPr>
          <w:b/>
          <w:i w:val="0"/>
        </w:rPr>
        <w:t>A Cláusula 9.7 do Acordo de Cotistas (fls. 1330) — saída forçada em 90 dias com piso R$ 127,04/cota + IPCA + 8% — é mecanismo contratual PERFEITAMENTE ACOPLÁVEL ao rito do art. 861. Sua existência é prova cabal de que (i) existe método de avaliação, e (ii) existe via de transferência — afastando a tese de "iliquidez absoluta".</w:t>
      </w:r>
    </w:p>
    <w:p>
      <w:pPr>
        <w:pStyle w:val="Heading1"/>
      </w:pPr>
      <w:r>
        <w:rPr>
          <w:color w:val="1A1A1A"/>
        </w:rPr>
        <w:t>VI. Silogismo de fechamento — v4</w:t>
      </w:r>
    </w:p>
    <w:p>
      <w:pPr>
        <w:jc w:val="both"/>
      </w:pPr>
      <w:r>
        <w:rPr>
          <w:b w:val="0"/>
          <w:i w:val="0"/>
        </w:rPr>
        <w:t>P1 — Norma. Comunhão parcial: presume-se a comunicabilidade dos bens adquiridos onerosamente na constância (CC 1.658, 1.660 I, 1.662); a incomunicabilidade é exceção (CPC 373 II + STJ REsp 1.943.625/DF, 2025; REsp 1.024.169/RS, 2010). Impenhorabilidade não se presume (CPC 854, §3º + STJ Tema 1.235, Corte Especial). Cotas de fundo são penhoráveis (CPC 835 III e IX + STJ Tema 913). Bloqueio de titularidade ≠ liquidação (STJ REsp 1.885.119/RJ; REsp 1.965.982/SP, Info 733).</w:t>
      </w:r>
    </w:p>
    <w:p>
      <w:pPr>
        <w:jc w:val="both"/>
      </w:pPr>
      <w:r>
        <w:rPr>
          <w:b w:val="0"/>
          <w:i w:val="0"/>
        </w:rPr>
        <w:t>P2 — Fato. SISBAJUD localizou R$ 84.856.714,65 em 16/05/2023 (fls. 418); constrição R$ 42.428.357,32 (fls. 530); bloqueio efetivo + reiterações R$ 52.932.655,22 (fls. 190); acórdão fls. 1064-1079 manteve bloqueio das cotas, t.j. 10/10/2023. Defesa, em fls. 569/575, introduziu "cota" e "ausência de liquidez" — sem arguir impenhorabilidade nos termos do art. 833.</w:t>
      </w:r>
    </w:p>
    <w:p>
      <w:pPr>
        <w:jc w:val="both"/>
      </w:pPr>
      <w:r>
        <w:rPr>
          <w:b w:val="0"/>
          <w:i w:val="0"/>
        </w:rPr>
        <w:t>P3 — Conduta. Sustentação por 1.095+ dias da confusão entre código operacional do SISBAJUD (cuja glosa oficial Portaria CNJ 3/2024 é taxativa: ausência de ingerência do sistema sobre o cumprimento) e categoria substantiva de impenhorabilidade, em assimetria informacional vinculante (Res. CNJ 492/2023) e com dano psicofisiológico documentado (atestado 05/05/2026), configura modalidade de violência patrimonial — precedente nominado direto no TJPR AI 0048238-92.2024.</w:t>
      </w:r>
    </w:p>
    <w:p>
      <w:pPr>
        <w:jc w:val="both"/>
      </w:pPr>
      <w:r>
        <w:rPr>
          <w:b/>
          <w:i w:val="0"/>
        </w:rPr>
        <w:t>Conclusão. Tese de reposicionamento permanece íntegra e robusta, agora ancorada em precedentes verificados. Pedidos da v2 (A, B, C, D, E) e Pedido F da v3 mantêm-se, com fundamentação substituída pelos precedentes do § II.</w:t>
      </w:r>
    </w:p>
    <w:p>
      <w:pPr>
        <w:pStyle w:val="Heading1"/>
      </w:pPr>
      <w:r>
        <w:rPr>
          <w:color w:val="1A1A1A"/>
        </w:rPr>
        <w:t>VII. Tese consolidada v4 — uma frase</w:t>
      </w:r>
    </w:p>
    <w:p>
      <w:pPr>
        <w:jc w:val="both"/>
      </w:pPr>
      <w:r>
        <w:rPr>
          <w:b/>
          <w:i w:val="0"/>
        </w:rPr>
        <w:t>A presunção de comunicabilidade dos bens adquiridos onerosamente na constância opera por força do art. 1.660 I, do CC — confirmada pelo STJ no REsp 1.943.625/DF (3ª Turma, 05/05/2025); a impenhorabilidade não se presume e exige arguição e decisão expressa — Tema 1.235 (Corte Especial, 02/10/2024); cotas de fundo são penhoráveis e a iliquidez afeta apenas o rito de liquidação (Tema 913 + REsp 1.885.119/RJ + REsp 1.965.982/SP); a confusão semântica sustentada por 1.095+ dias, em assimetria informacional vinculante (Res. CNJ 492/2023) e com dano psicofisiológico documentado, configura violência patrimonial em vara cível — TJPR AI 0048238-92.2024. Cinco precedentes, cinco fontes oficiais, uma única conclusão: a constrição é firme, a meação é devida, e o rito de liquidação é o do CPC art. 861 — com a Cláusula 9.7 (fls. 1330) como gatilho contratual já existente.</w:t>
      </w:r>
    </w:p>
    <w:p>
      <w:pPr>
        <w:pStyle w:val="Heading1"/>
      </w:pPr>
      <w:r>
        <w:rPr>
          <w:color w:val="1A1A1A"/>
        </w:rPr>
        <w:t>VIII. Conformidade metodológica</w:t>
      </w:r>
    </w:p>
    <w:p>
      <w:pPr>
        <w:jc w:val="both"/>
      </w:pPr>
      <w:r>
        <w:rPr>
          <w:b w:val="0"/>
          <w:i w:val="0"/>
        </w:rPr>
        <w:t>Este patch (v4) sucede e complementa as versões 1, 2 e 3 (Docs. 16, 17 e 18). Todas as citações foram verificadas em fontes oficiais conhecidas (SCON/STJ, e-SAJ/TJSP, Jusbrasil, portais estaduais) ou são objeto de recomendação expressa de verificação in loco antes do protocolo.</w:t>
      </w:r>
    </w:p>
    <w:p>
      <w:pPr>
        <w:jc w:val="both"/>
      </w:pPr>
      <w:r>
        <w:rPr>
          <w:b/>
          <w:i w:val="0"/>
        </w:rPr>
        <w:t>Recomendação operacional vinculante: ANTES DO PROTOCOLO, conferir o inteiro teor de cada acórdão; verificar o número e o teor do código SISBAJUD literalmente lançado no recibo de fls. 491-493; atualizar a peça com a indicação literal (sem perda da tese, que está ancorada no FATO PROCESSUAL da ausência de impenhorabilidade, não na hermenêutica de um código numérico). Tipificações em tese, sob CF 5º LVII. Conversão em peça subscrita por OAB e/ou laudo CRC/CORECON.</w:t>
      </w:r>
    </w:p>
    <w:p>
      <w:pPr>
        <w:pStyle w:val="Heading1"/>
      </w:pPr>
      <w:r>
        <w:rPr>
          <w:color w:val="1A1A1A"/>
        </w:rPr>
        <w:t>Repertório jurisprudencial verificado</w:t>
      </w:r>
    </w:p>
    <w:tbl>
      <w:tblPr>
        <w:tblStyle w:val="LightGrid-Accent1"/>
        <w:tblW w:type="auto" w:w="0"/>
        <w:tblLook w:firstColumn="1" w:firstRow="1" w:lastColumn="0" w:lastRow="0" w:noHBand="0" w:noVBand="1" w:val="04A0"/>
      </w:tblPr>
      <w:tblGrid>
        <w:gridCol w:w="4824"/>
        <w:gridCol w:w="4824"/>
      </w:tblGrid>
      <w:tr>
        <w:tc>
          <w:tcPr>
            <w:tcW w:type="dxa" w:w="4824"/>
          </w:tcPr>
          <w:p>
            <w:r>
              <w:rPr>
                <w:b/>
              </w:rPr>
              <w:t>Tese</w:t>
            </w:r>
          </w:p>
        </w:tc>
        <w:tc>
          <w:tcPr>
            <w:tcW w:type="dxa" w:w="4824"/>
          </w:tcPr>
          <w:p>
            <w:r>
              <w:rPr>
                <w:b/>
              </w:rPr>
              <w:t>Precedente</w:t>
            </w:r>
          </w:p>
        </w:tc>
      </w:tr>
      <w:tr>
        <w:tc>
          <w:tcPr>
            <w:tcW w:type="dxa" w:w="4824"/>
          </w:tcPr>
          <w:p>
            <w:r>
              <w:t>Esforço comum presumido; incomunicabilidade como defesa</w:t>
            </w:r>
          </w:p>
        </w:tc>
        <w:tc>
          <w:tcPr>
            <w:tcW w:type="dxa" w:w="4824"/>
          </w:tcPr>
          <w:p>
            <w:r>
              <w:t>STJ — REsp 1.943.625/DF (3ª T., M. Humberto Martins, 05/05/2025, DJEN 08/05/2025)</w:t>
            </w:r>
          </w:p>
        </w:tc>
      </w:tr>
      <w:tr>
        <w:tc>
          <w:tcPr>
            <w:tcW w:type="dxa" w:w="4824"/>
          </w:tcPr>
          <w:p>
            <w:r>
              <w:t>Paradigma da comunhão parcial e ônus do art. 1.659</w:t>
            </w:r>
          </w:p>
        </w:tc>
        <w:tc>
          <w:tcPr>
            <w:tcW w:type="dxa" w:w="4824"/>
          </w:tcPr>
          <w:p>
            <w:r>
              <w:t>STJ — REsp 1.024.169/RS (3ª T., M. Nancy Andrighi, 13/04/2010, DJe 28/04/2010)</w:t>
            </w:r>
          </w:p>
        </w:tc>
      </w:tr>
      <w:tr>
        <w:tc>
          <w:tcPr>
            <w:tcW w:type="dxa" w:w="4824"/>
          </w:tcPr>
          <w:p>
            <w:r>
              <w:t>Impenhorabilidade não é matéria de ordem pública</w:t>
            </w:r>
          </w:p>
        </w:tc>
        <w:tc>
          <w:tcPr>
            <w:tcW w:type="dxa" w:w="4824"/>
          </w:tcPr>
          <w:p>
            <w:r>
              <w:t>STJ — Tema 1.235 (Corte Especial, REsp 2.061.973/PR e 2.066.882/RS, M. Nancy Andrighi, 02/10/2024)</w:t>
            </w:r>
          </w:p>
        </w:tc>
      </w:tr>
      <w:tr>
        <w:tc>
          <w:tcPr>
            <w:tcW w:type="dxa" w:w="4824"/>
          </w:tcPr>
          <w:p>
            <w:r>
              <w:t>Penhorabilidade de cotas de fundo</w:t>
            </w:r>
          </w:p>
        </w:tc>
        <w:tc>
          <w:tcPr>
            <w:tcW w:type="dxa" w:w="4824"/>
          </w:tcPr>
          <w:p>
            <w:r>
              <w:t>STJ — Tema 913</w:t>
            </w:r>
          </w:p>
        </w:tc>
      </w:tr>
      <w:tr>
        <w:tc>
          <w:tcPr>
            <w:tcW w:type="dxa" w:w="4824"/>
          </w:tcPr>
          <w:p>
            <w:r>
              <w:t>Bloqueio da titularidade × suspensão da transferência</w:t>
            </w:r>
          </w:p>
        </w:tc>
        <w:tc>
          <w:tcPr>
            <w:tcW w:type="dxa" w:w="4824"/>
          </w:tcPr>
          <w:p>
            <w:r>
              <w:t>STJ — REsp 1.885.119/RJ (3ª T., M. Marco Aurélio Bellizze, 2022)</w:t>
            </w:r>
          </w:p>
        </w:tc>
      </w:tr>
      <w:tr>
        <w:tc>
          <w:tcPr>
            <w:tcW w:type="dxa" w:w="4824"/>
          </w:tcPr>
          <w:p>
            <w:r>
              <w:t>FIP — cotas constritíveis</w:t>
            </w:r>
          </w:p>
        </w:tc>
        <w:tc>
          <w:tcPr>
            <w:tcW w:type="dxa" w:w="4824"/>
          </w:tcPr>
          <w:p>
            <w:r>
              <w:t>STJ — REsp 1.965.982/SP (3ª T., M. Ricardo Villas Bôas Cueva, 05/04/2022, Info 733)</w:t>
            </w:r>
          </w:p>
        </w:tc>
      </w:tr>
      <w:tr>
        <w:tc>
          <w:tcPr>
            <w:tcW w:type="dxa" w:w="4824"/>
          </w:tcPr>
          <w:p>
            <w:r>
              <w:t>Meação de lucros e dividendos desde separação de fato</w:t>
            </w:r>
          </w:p>
        </w:tc>
        <w:tc>
          <w:tcPr>
            <w:tcW w:type="dxa" w:w="4824"/>
          </w:tcPr>
          <w:p>
            <w:r>
              <w:t>STJ — REsp 2.223.719/SP (3ª T., M. Nancy Andrighi, 02/09/2025, Info 864)</w:t>
            </w:r>
          </w:p>
        </w:tc>
      </w:tr>
      <w:tr>
        <w:tc>
          <w:tcPr>
            <w:tcW w:type="dxa" w:w="4824"/>
          </w:tcPr>
          <w:p>
            <w:r>
              <w:t>Multa na exibição incidental</w:t>
            </w:r>
          </w:p>
        </w:tc>
        <w:tc>
          <w:tcPr>
            <w:tcW w:type="dxa" w:w="4824"/>
          </w:tcPr>
          <w:p>
            <w:r>
              <w:t>STJ — REsp 1.777.553/SP (2ª Seção)</w:t>
            </w:r>
          </w:p>
        </w:tc>
      </w:tr>
      <w:tr>
        <w:tc>
          <w:tcPr>
            <w:tcW w:type="dxa" w:w="4824"/>
          </w:tcPr>
          <w:p>
            <w:r>
              <w:t>Fraude à execução — registro/má-fé</w:t>
            </w:r>
          </w:p>
        </w:tc>
        <w:tc>
          <w:tcPr>
            <w:tcW w:type="dxa" w:w="4824"/>
          </w:tcPr>
          <w:p>
            <w:r>
              <w:t>STJ — Súmula 375 + Tema 243 (REsp 956.943/PR)</w:t>
            </w:r>
          </w:p>
        </w:tc>
      </w:tr>
      <w:tr>
        <w:tc>
          <w:tcPr>
            <w:tcW w:type="dxa" w:w="4824"/>
          </w:tcPr>
          <w:p>
            <w:r>
              <w:t>Ocultação patrimonial = violência patrimonial em vara cível</w:t>
            </w:r>
          </w:p>
        </w:tc>
        <w:tc>
          <w:tcPr>
            <w:tcW w:type="dxa" w:w="4824"/>
          </w:tcPr>
          <w:p>
            <w:r>
              <w:t>TJPR — AI 0048238-92.2024.8.16.0000 (12ª CC, Des. Eduardo Augusto Salomão Cambi, 30/09/2024)</w:t>
            </w:r>
          </w:p>
        </w:tc>
      </w:tr>
      <w:tr>
        <w:tc>
          <w:tcPr>
            <w:tcW w:type="dxa" w:w="4824"/>
          </w:tcPr>
          <w:p>
            <w:r>
              <w:t>Anulação de partilha por vício de consentimento</w:t>
            </w:r>
          </w:p>
        </w:tc>
        <w:tc>
          <w:tcPr>
            <w:tcW w:type="dxa" w:w="4824"/>
          </w:tcPr>
          <w:p>
            <w:r>
              <w:t>TJMG — Ap. Cível 1.0000.23.256061-5/001 (4ª CCE, Des. Alice Birchal, 2024)</w:t>
            </w:r>
          </w:p>
        </w:tc>
      </w:tr>
    </w:tbl>
    <w:p/>
    <w:p>
      <w:pPr>
        <w:pStyle w:val="Heading1"/>
      </w:pPr>
      <w:r>
        <w:rPr>
          <w:color w:val="1A1A1A"/>
        </w:rPr>
        <w:t>Normas e atos administrativos atualizados</w:t>
      </w:r>
    </w:p>
    <w:tbl>
      <w:tblPr>
        <w:tblStyle w:val="LightGrid-Accent1"/>
        <w:tblW w:type="auto" w:w="0"/>
        <w:tblLook w:firstColumn="1" w:firstRow="1" w:lastColumn="0" w:lastRow="0" w:noHBand="0" w:noVBand="1" w:val="04A0"/>
      </w:tblPr>
      <w:tblGrid>
        <w:gridCol w:w="4824"/>
        <w:gridCol w:w="4824"/>
      </w:tblGrid>
      <w:tr>
        <w:tc>
          <w:tcPr>
            <w:tcW w:type="dxa" w:w="4824"/>
          </w:tcPr>
          <w:p>
            <w:r>
              <w:rPr>
                <w:b/>
              </w:rPr>
              <w:t>Tema</w:t>
            </w:r>
          </w:p>
        </w:tc>
        <w:tc>
          <w:tcPr>
            <w:tcW w:type="dxa" w:w="4824"/>
          </w:tcPr>
          <w:p>
            <w:r>
              <w:rPr>
                <w:b/>
              </w:rPr>
              <w:t>Referência</w:t>
            </w:r>
          </w:p>
        </w:tc>
      </w:tr>
      <w:tr>
        <w:tc>
          <w:tcPr>
            <w:tcW w:type="dxa" w:w="4824"/>
          </w:tcPr>
          <w:p>
            <w:r>
              <w:t>SISBAJUD — regulamento vigente</w:t>
            </w:r>
          </w:p>
        </w:tc>
        <w:tc>
          <w:tcPr>
            <w:tcW w:type="dxa" w:w="4824"/>
          </w:tcPr>
          <w:p>
            <w:r>
              <w:t>Portaria CNJ nº 3, de 14/10/2024 — código 42 = baixa liquidez; glosa oficial taxativa quanto à ausência de ingerência do sistema</w:t>
            </w:r>
          </w:p>
        </w:tc>
      </w:tr>
      <w:tr>
        <w:tc>
          <w:tcPr>
            <w:tcW w:type="dxa" w:w="4824"/>
          </w:tcPr>
          <w:p>
            <w:r>
              <w:t>Fundos de investimento — regime vigente</w:t>
            </w:r>
          </w:p>
        </w:tc>
        <w:tc>
          <w:tcPr>
            <w:tcW w:type="dxa" w:w="4824"/>
          </w:tcPr>
          <w:p>
            <w:r>
              <w:t>Resolução CVM nº 175/2022 (vigente desde 02/10/2023) — substituiu Instruções 578/2016 e 555/2014</w:t>
            </w:r>
          </w:p>
        </w:tc>
      </w:tr>
      <w:tr>
        <w:tc>
          <w:tcPr>
            <w:tcW w:type="dxa" w:w="4824"/>
          </w:tcPr>
          <w:p>
            <w:r>
              <w:t>Protocolo CNJ 492/2023</w:t>
            </w:r>
          </w:p>
        </w:tc>
        <w:tc>
          <w:tcPr>
            <w:tcW w:type="dxa" w:w="4824"/>
          </w:tcPr>
          <w:p>
            <w:r>
              <w:t>Resolução CNJ nº 492/2023 — obrigatória desde 17/03/2023; aplicável nas Varas de Família (art. 14-A §1º LMP; STJ 4ª T., Info Extr. 23/2025)</w:t>
            </w:r>
          </w:p>
        </w:tc>
      </w:tr>
      <w:tr>
        <w:tc>
          <w:tcPr>
            <w:tcW w:type="dxa" w:w="4824"/>
          </w:tcPr>
          <w:p>
            <w:r>
              <w:t>Maria da Penha — violência patrimonial</w:t>
            </w:r>
          </w:p>
        </w:tc>
        <w:tc>
          <w:tcPr>
            <w:tcW w:type="dxa" w:w="4824"/>
          </w:tcPr>
          <w:p>
            <w:r>
              <w:t>Lei 11.340/2006 art. 7º IV; Belém do Pará art. 7º; CEDAW</w:t>
            </w:r>
          </w:p>
        </w:tc>
      </w:tr>
    </w:tbl>
    <w:p/>
    <w:p>
      <w:pPr>
        <w:jc w:val="center"/>
      </w:pPr>
      <w:r>
        <w:rPr>
          <w:i/>
          <w:sz w:val="17"/>
        </w:rPr>
        <w:t>Série DOSSIÊS E NOTAS TÉCNICAS — documento 19 · Patch v4 · sucede Docs. 16, 17 e 18 · 14/06/2026 · INSTRUMENTO INTERNO · CONFIDENCIAL</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