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TESE v5 · PATCH RETÓRICO-COERCITIVO · TRÊS VETORES DE BLINDAGEM</w:t>
      </w:r>
    </w:p>
    <w:p>
      <w:pPr>
        <w:jc w:val="center"/>
      </w:pPr>
      <w:r>
        <w:rPr>
          <w:i/>
          <w:sz w:val="19"/>
        </w:rPr>
        <w:t>Quando a inércia tem CPF, a inércia muda de comportamento</w:t>
        <w:br/>
        <w:t>Autos 1006744-58.2023.8.26.0011 · 1ª VF Pinheiros/SP · Emissão 14/06/2026 · Patch v5</w:t>
        <w:br/>
        <w:t>Sucede e complementa Docs. 16, 17, 18 e 19 · CONFIDENCIAL</w:t>
      </w:r>
    </w:p>
    <w:p>
      <w:pPr>
        <w:pStyle w:val="Heading1"/>
      </w:pPr>
      <w:r>
        <w:rPr>
          <w:color w:val="1A1A1A"/>
        </w:rPr>
        <w:t>I. Função deste patch e calibragem honesta</w:t>
      </w:r>
    </w:p>
    <w:p>
      <w:pPr>
        <w:jc w:val="both"/>
      </w:pPr>
      <w:r>
        <w:rPr>
          <w:b/>
          <w:i w:val="0"/>
        </w:rPr>
        <w:t>As versões 1 a 4 estabilizaram a fundamentação jurídica e a verificabilidade das fontes. Este patch v5 não acrescenta nova tese — acrescenta TRÊS VETORES DE COERÇÃO RETÓRICA que reduzem ao máximo as rotas de escape disponíveis ao Juízo. O efeito esperado não é o de tornar a decisão favorável "100% inevitável" — nenhum trabalho técnico-jurídico honesto pode prometê-lo —, mas o de fechar sistematicamente cada porta argumentativa que a defesa adversária poderia abrir, e transformar a inação judicial em ato com custo reputacional e funcional explícito.</w:t>
      </w:r>
    </w:p>
    <w:p>
      <w:pPr>
        <w:jc w:val="both"/>
      </w:pPr>
      <w:r>
        <w:rPr>
          <w:b w:val="0"/>
          <w:i w:val="0"/>
        </w:rPr>
        <w:t>Cenário-base permanece em probabilidade alta (faixa 75-90% para a liberação da Camada L2 em janela curta); o teto absoluto continua fora do nosso domínio porque depende de variáveis externas. Mas todas as variáveis sob nosso controle ficam blindadas.</w:t>
      </w:r>
    </w:p>
    <w:p>
      <w:pPr>
        <w:pStyle w:val="Heading1"/>
      </w:pPr>
      <w:r>
        <w:rPr>
          <w:color w:val="1A1A1A"/>
        </w:rPr>
        <w:t>II. Vetor 1 — Responsabilização pessoal do administrador (a inércia tem CPF)</w:t>
      </w:r>
    </w:p>
    <w:p>
      <w:pPr>
        <w:jc w:val="both"/>
      </w:pPr>
      <w:r>
        <w:rPr>
          <w:b/>
          <w:i w:val="0"/>
        </w:rPr>
        <w:t>O efeito retórico-jurídico mais subestimado em ordens de bloqueio sobre estruturas complexas é o seguinte: quem deveria executar a ordem é uma pessoa física com inscrição na ANBIMA, dever fiduciário pela RCVM 175/2022 e responsabilidade civil pessoal. Ao endereçar a coerção diretamente à pessoa física, transferem-se três riscos: patrimonial, penal e de carreira.</w:t>
      </w:r>
    </w:p>
    <w:p>
      <w:pPr>
        <w:pStyle w:val="Heading2"/>
      </w:pPr>
      <w:r>
        <w:rPr>
          <w:color w:val="7A0C0C"/>
        </w:rPr>
        <w:t>Implementação do Vetor 1</w:t>
      </w:r>
    </w:p>
    <w:p>
      <w:pPr>
        <w:jc w:val="both"/>
      </w:pPr>
      <w:r>
        <w:rPr>
          <w:b w:val="0"/>
          <w:i w:val="0"/>
        </w:rPr>
        <w:t>A peça subscrita deve postular a intimação pessoal do Diretor responsável pela administração fiduciária do FIP Ajaccio na OSLO Capital DTVM (sucessora da FRAM, mesmo CNPJ 13.673.855/0001-25; identificação a verificar em ata de eleição publicada na CVM) para cumprimento em prazo certo, sob penas CUMULATIVAS:</w:t>
      </w:r>
    </w:p>
    <w:p>
      <w:pPr>
        <w:jc w:val="both"/>
      </w:pPr>
      <w:r>
        <w:rPr>
          <w:b w:val="0"/>
          <w:i w:val="0"/>
        </w:rPr>
        <w:t>• Multa diária pessoal de 1% sobre o valor retido, revertida em favor da Requerente (CPC arts. 537 e 814).</w:t>
      </w:r>
    </w:p>
    <w:p>
      <w:pPr>
        <w:jc w:val="both"/>
      </w:pPr>
      <w:r>
        <w:rPr>
          <w:b w:val="0"/>
          <w:i w:val="0"/>
        </w:rPr>
        <w:t>• Ofício ao Ministério Público para apuração, em tese, de crime de desobediência (CP art. 330), após decurso do prazo.</w:t>
      </w:r>
    </w:p>
    <w:p>
      <w:pPr>
        <w:jc w:val="both"/>
      </w:pPr>
      <w:r>
        <w:rPr>
          <w:b w:val="0"/>
          <w:i w:val="0"/>
        </w:rPr>
        <w:t>• Reconhecimento de ato atentatório à dignidade da justiça (CPC arts. 77 IV e VI, e 774 III e IV), com multa de até 20% do valor da causa, solidária à instituição e ao administrador pessoa física.</w:t>
      </w:r>
    </w:p>
    <w:p>
      <w:pPr>
        <w:jc w:val="both"/>
      </w:pPr>
      <w:r>
        <w:rPr>
          <w:b w:val="0"/>
          <w:i w:val="0"/>
        </w:rPr>
        <w:t>• Comunicação à CVM e à ANBIMA para conhecimento e providências regulatórias (RCVM 175/2022 art. 39).</w:t>
      </w:r>
    </w:p>
    <w:p>
      <w:pPr>
        <w:jc w:val="both"/>
      </w:pPr>
      <w:r>
        <w:rPr>
          <w:b w:val="0"/>
          <w:i/>
        </w:rPr>
        <w:t>Em paralelo: averbação no registro funcional da OSLO na CVM da existência de ordem judicial reiteradamente descumprida — instrumento dissuasório com efeito direto sobre relacionamento com demais cotistas e regulação.</w:t>
      </w:r>
    </w:p>
    <w:p>
      <w:pPr>
        <w:pStyle w:val="Heading2"/>
      </w:pPr>
      <w:r>
        <w:rPr>
          <w:color w:val="7A0C0C"/>
        </w:rPr>
        <w:t>II.1 Draft de redação (para a peça subscrita)</w:t>
      </w:r>
    </w:p>
    <w:p>
      <w:pPr>
        <w:jc w:val="both"/>
      </w:pPr>
      <w:r>
        <w:rPr>
          <w:b w:val="0"/>
          <w:i/>
        </w:rPr>
        <w:t>"O regime jurídico da administração fiduciária de fundos de investimento, disciplinado pela Resolução CVM nº 175/2022, atribui ao administrador dever fiduciário PESSOAL e responsabilidade individual pelos atos de gestão. A reiterada inação da administradora — primeiro sob a denominação FRAM Capital DTVM, hoje OSLO Capital DTVM, mesmo CNPJ 13.673.855/0001-25 —, materializada em códigos de não-resposta sucessivos e em narrativa de iliquidez sustentada por mais de mil e noventa e cinco dias, deixa de ser comportamento institucional descritível como abstração societária: passa a ser CONDUTA ATRIBUÍVEL À PESSOA FÍSICA responsável pela administração fiduciária, com endereço e CPF identificáveis nos atos societários publicados na CVM."</w:t>
      </w:r>
    </w:p>
    <w:p>
      <w:pPr>
        <w:jc w:val="both"/>
      </w:pPr>
      <w:r>
        <w:rPr>
          <w:b w:val="0"/>
          <w:i/>
        </w:rPr>
        <w:t>"Requer-se: (i) expedição de mandado de intimação pessoal ao Diretor responsável pela administração do FIP Ajaccio na OSLO Capital DTVM, para cumprimento em 5 dias da ordem de transferência dos valores líquidos (Camada L2) à conta judicial, sob multa diária pessoal de 1% (CPC arts. 537 e 814); (ii) escoado o prazo, expedição imediata de ofício ao MP para apuração de crime de desobediência (CP art. 330); (iii) reconhecimento de ato atentatório à dignidade da justiça (CPC arts. 77, IV e VI, e 774, III e IV), com multa solidária de até 20% do valor da causa; (iv) comunicação à CVM e à ANBIMA quanto ao cumprimento do dever fiduciário."</w:t>
      </w:r>
    </w:p>
    <w:p>
      <w:pPr>
        <w:pStyle w:val="Heading1"/>
      </w:pPr>
      <w:r>
        <w:rPr>
          <w:color w:val="1A1A1A"/>
        </w:rPr>
        <w:t>III. Vetor 2 — Fato novo irrefutável (liquidez seletiva)</w:t>
      </w:r>
    </w:p>
    <w:p>
      <w:pPr>
        <w:jc w:val="both"/>
      </w:pPr>
      <w:r>
        <w:rPr>
          <w:b/>
          <w:i w:val="0"/>
        </w:rPr>
        <w:t>A defesa sustenta-se em uma única premissa: "o fundo é integralmente ilíquido". Esta premissa cai no momento em que se demonstra que o MESMO FUNDO opera transferências quando convém ao Requerido. O conceito retórico: LIQUIDEZ SELETIVA. Não há iliquidez; há iliquidez SELETIVA contra a Requerente.</w:t>
      </w:r>
    </w:p>
    <w:p>
      <w:pPr>
        <w:pStyle w:val="Heading2"/>
      </w:pPr>
      <w:r>
        <w:rPr>
          <w:color w:val="7A0C0C"/>
        </w:rPr>
        <w:t>Silogismo do Vetor 2</w:t>
      </w:r>
    </w:p>
    <w:p>
      <w:pPr>
        <w:jc w:val="both"/>
      </w:pPr>
      <w:r>
        <w:rPr>
          <w:b w:val="0"/>
          <w:i w:val="0"/>
        </w:rPr>
        <w:t>P1 — Tese da defesa. O FIP Ajaccio é fundo fechado de baixa liquidez integral; as cotas não admitem realização imediata (fls. 569-575).</w:t>
      </w:r>
    </w:p>
    <w:p>
      <w:pPr>
        <w:jc w:val="both"/>
      </w:pPr>
      <w:r>
        <w:rPr>
          <w:b w:val="0"/>
          <w:i w:val="0"/>
        </w:rPr>
        <w:t>P2 — Fato contraditório. O mesmo fundo realizou pagamentos ao Requerido durante a litispendência: R$ 749.183,38 sob rubrica de non-compete em 29/01/2025 (repasse 24-48h ao BTG via Apoio Administrativo); fluxo recorrente R$ 5,4 MM/ano via Apoio Administrativo (CNPJ 17.867.118/0001-14); ordem SISBAJUD posterior de 31/03/2026 (fls. 123 do conexo) capturou R$ 27.799,79 no mesmo CPF com cumprimento integral pelo BTG (código 12).</w:t>
      </w:r>
    </w:p>
    <w:p>
      <w:pPr>
        <w:jc w:val="both"/>
      </w:pPr>
      <w:r>
        <w:rPr>
          <w:b/>
          <w:i w:val="0"/>
        </w:rPr>
        <w:t>P3 — Conclusão. A liquidez do veículo existe e é seletiva. Configura-se padrão de conduta funcionalmente equivalente à fraude à execução (CPC art. 792, tratamento instrumental do sanatório nº 3 da v2) e modalidade de violência patrimonial (LMP art. 7º IV; TJPR AI 0048238-92.2024).</w:t>
      </w:r>
    </w:p>
    <w:p>
      <w:pPr>
        <w:pStyle w:val="Heading2"/>
      </w:pPr>
      <w:r>
        <w:rPr>
          <w:color w:val="7A0C0C"/>
        </w:rPr>
        <w:t>III.1 Draft de redação (para a peça subscrita)</w:t>
      </w:r>
    </w:p>
    <w:p>
      <w:pPr>
        <w:jc w:val="both"/>
      </w:pPr>
      <w:r>
        <w:rPr>
          <w:b w:val="0"/>
          <w:i/>
        </w:rPr>
        <w:t>"A narrativa de iliquidez do FIP Ajaccio, sustentada desde fls. 569-575, é desmontada pelos seguintes fatos extraídos dos próprios autos e do processo conexo 0005199-67.2023.8.26.0011:"</w:t>
      </w:r>
    </w:p>
    <w:p>
      <w:pPr>
        <w:jc w:val="both"/>
      </w:pPr>
      <w:r>
        <w:rPr>
          <w:b w:val="0"/>
          <w:i/>
        </w:rPr>
        <w:t>"(i) Pagamento de R$ 749.183,38 ao Requerido em 29/01/2025, sob rubrica de non-compete, com origem confessa no ecossistema E-Vino/Ajaccio e repasse em 24-48 horas, via Ari Gorenstein Apoio Administrativo Ltda. (CNPJ 17.867.118/0001-14), ao BTG Pactual PF (Ag. 0208, Cta. 393729-6), em três TEDs totalizando R$ 680.000,00;"</w:t>
      </w:r>
    </w:p>
    <w:p>
      <w:pPr>
        <w:jc w:val="both"/>
      </w:pPr>
      <w:r>
        <w:rPr>
          <w:b w:val="0"/>
          <w:i/>
        </w:rPr>
        <w:t>"(ii) Fluxo recorrente de aproximadamente R$ 450.000,00 mensais, em 22 ocorrências documentadas, totalizando estimados R$ 5.400.000,00/ano via Apoio Administrativo;"</w:t>
      </w:r>
    </w:p>
    <w:p>
      <w:pPr>
        <w:jc w:val="both"/>
      </w:pPr>
      <w:r>
        <w:rPr>
          <w:b w:val="0"/>
          <w:i/>
        </w:rPr>
        <w:t>"(iii) Ordem SISBAJUD de 31/03/2026 no processo conexo (fls. 123 do desdobrado), com cumprimento integral pelo BTG Pactual no valor de R$ 27.799,79 (código 12 — bloqueio afetando depósito a prazo) — comprovação técnica de que, no mesmo CPF, o sistema captura valores em depósito a prazo de forma regular e em horas."</w:t>
      </w:r>
    </w:p>
    <w:p>
      <w:pPr>
        <w:jc w:val="both"/>
      </w:pPr>
      <w:r>
        <w:rPr>
          <w:b w:val="0"/>
          <w:i/>
        </w:rPr>
        <w:t>"O retrato é cristalino: A LIQUIDEZ EXISTE; É SELETIVA. O veículo opera transferências quando o destinatário é o próprio Requerido; e simula iliquidez quando a destinatária seria a Requerente. Esse padrão, mantido por mais de 1.095 dias e documentado em peças oficiais do sistema judicial, atende aos elementos da violência patrimonial estruturada (LMP art. 7º IV), na exata configuração reconhecida pelo TJPR AI 0048238-92.2024.8.16.0000, Rel. Des. Eduardo Augusto Salomão Cambi, j. 30/09/2024."</w:t>
      </w:r>
    </w:p>
    <w:p>
      <w:pPr>
        <w:pStyle w:val="Heading1"/>
      </w:pPr>
      <w:r>
        <w:rPr>
          <w:color w:val="1A1A1A"/>
        </w:rPr>
        <w:t>IV. Vetor 3 — Protocolo CNJ 492/2023 como dever funcional, não faculdade</w:t>
      </w:r>
    </w:p>
    <w:p>
      <w:pPr>
        <w:jc w:val="both"/>
      </w:pPr>
      <w:r>
        <w:rPr>
          <w:b/>
          <w:i w:val="0"/>
        </w:rPr>
        <w:t>A leitura correta do Protocolo é a de que a Resolução, aprovada em 17/03/2023, é ato normativo do órgão de fiscalização da magistratura, vincula a atuação jurisdicional e impõe à magistrada um DEVER FUNCIONAL de aplicação. Não obedecê-lo não é apenas decisão técnica equivocada; é descumprimento de norma do CNJ.</w:t>
      </w:r>
    </w:p>
    <w:p>
      <w:pPr>
        <w:pStyle w:val="Heading2"/>
      </w:pPr>
      <w:r>
        <w:rPr>
          <w:color w:val="7A0C0C"/>
        </w:rPr>
        <w:t>Implementação do Vetor 3</w:t>
      </w:r>
    </w:p>
    <w:p>
      <w:pPr>
        <w:jc w:val="both"/>
      </w:pPr>
      <w:r>
        <w:rPr>
          <w:b w:val="0"/>
          <w:i w:val="0"/>
        </w:rPr>
        <w:t>Título proposto para o tópico: "Do dever de aplicação imediata do Protocolo para Julgamento com Perspectiva de Gênero (Resolução CNJ nº 492/2023)".</w:t>
      </w:r>
    </w:p>
    <w:p>
      <w:pPr>
        <w:jc w:val="both"/>
      </w:pPr>
      <w:r>
        <w:rPr>
          <w:b/>
          <w:i w:val="0"/>
        </w:rPr>
        <w:t>Construção: o Protocolo determina à magistratura, como dever funcional, observância de critérios específicos — assimetria informacional, vedação à revitimização, leitura rigorosa da ocultação, prioridade de tramitação (art. 14-A §2º LMP). A manutenção do bloqueio sobre R$ 77 MM em cotas + retenção da Camada L2, enquanto o Requerido aufere renda do mesmo patrimônio (Vetor 2) e a Requerente tem cobertura médica interrompida (atestado 05/05/2026), CONFIGURA, EM SI MESMA E EM CURSO, PERPETUAÇÃO DA VIOLÊNCIA PATRIMONIAL PELO PRÓPRIO PROCESSO JUDICIAL.</w:t>
      </w:r>
    </w:p>
    <w:p>
      <w:pPr>
        <w:pStyle w:val="Heading2"/>
      </w:pPr>
      <w:r>
        <w:rPr>
          <w:color w:val="7A0C0C"/>
        </w:rPr>
        <w:t>IV.1 Draft de redação (para a peça subscrita)</w:t>
      </w:r>
    </w:p>
    <w:p>
      <w:pPr>
        <w:jc w:val="both"/>
      </w:pPr>
      <w:r>
        <w:rPr>
          <w:b w:val="0"/>
          <w:i/>
        </w:rPr>
        <w:t>"A Resolução CNJ nº 492, de 17 de março de 2023, instituiu o Protocolo para Julgamento com Perspectiva de Gênero como DEVER FUNCIONAL VINCULANTE de todas as magistradas e magistrados, com aplicação obrigatória inclusive nas Varas de Família (LMP art. 14-A §1º; STJ, 4ª Turma, Rel. Min. Maria Isabel Gallotti, Informativo Extraordinário 23/2025)."</w:t>
      </w:r>
    </w:p>
    <w:p>
      <w:pPr>
        <w:jc w:val="both"/>
      </w:pPr>
      <w:r>
        <w:rPr>
          <w:b w:val="0"/>
          <w:i/>
        </w:rPr>
        <w:t>"O TJPR, em precedente nominado direto e atual — AI 0048238-92.2024.8.16.0000, 12ª Câmara Cível, Rel. Des. Eduardo Augusto Salomão Cambi, j. 30/09/2024 —, firmou: 'a dissipação e/ou ocultação do patrimônio a ser partilhado e que está na posse do ex-marido é uma forma de frustrar a partilha dos bens comuns, configura hipótese de violência doméstica patrimonial contra a ex-mulher'."</w:t>
      </w:r>
    </w:p>
    <w:p>
      <w:pPr>
        <w:jc w:val="both"/>
      </w:pPr>
      <w:r>
        <w:rPr>
          <w:b w:val="0"/>
          <w:i/>
        </w:rPr>
        <w:t>"No caso dos autos, a manutenção do bloqueio sobre o acervo localizado em 16/05/2023 (R$ 84.856.714,65 — fls. 418), sem qualquer fração entregue à Requerente em mais de 1.095 dias, ENQUANTO O REQUERIDO AUFERE RENDA do mesmo patrimônio (Vetor 2) e A REQUERENTE TEVE A COBERTURA MÉDICA ESSENCIAL INTERROMPIDA (atestado psiquiátrico de 05/05/2026, CID-10 F33), configura, em si mesma e em curso, PERPETUAÇÃO DA VIOLÊNCIA PATRIMONIAL PELO PRÓPRIO PROCESSO JUDICIAL. Não se trata de partilha complexa ou de discussão técnica sobre liquidez. Trata-se de cumprir, com urgência, o que a Resolução CNJ nº 492/2023 determina como DEVER FUNCIONAL desta magistrada — cessar, no processo sob sua condução, a perpetuação da violência."</w:t>
      </w:r>
    </w:p>
    <w:p>
      <w:pPr>
        <w:pStyle w:val="Heading1"/>
      </w:pPr>
      <w:r>
        <w:rPr>
          <w:color w:val="1A1A1A"/>
        </w:rPr>
        <w:t>V. Arquitetura retórica integrada — três vetores, um único efeito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Pilar defensivo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Como cai</w:t>
            </w:r>
          </w:p>
        </w:tc>
        <w:tc>
          <w:tcPr>
            <w:tcW w:type="dxa" w:w="3216"/>
          </w:tcPr>
          <w:p>
            <w:r>
              <w:rPr>
                <w:b/>
              </w:rPr>
              <w:t>Vetor responsável</w:t>
            </w:r>
          </w:p>
        </w:tc>
      </w:tr>
      <w:tr>
        <w:tc>
          <w:tcPr>
            <w:tcW w:type="dxa" w:w="3216"/>
          </w:tcPr>
          <w:p>
            <w:r>
              <w:t>"A instituição é abstração; o cumprimento é institucional"</w:t>
            </w:r>
          </w:p>
        </w:tc>
        <w:tc>
          <w:tcPr>
            <w:tcW w:type="dxa" w:w="3216"/>
          </w:tcPr>
          <w:p>
            <w:r>
              <w:t>A inércia ganha CPF; administrador pessoa física responde pessoalmente</w:t>
            </w:r>
          </w:p>
        </w:tc>
        <w:tc>
          <w:tcPr>
            <w:tcW w:type="dxa" w:w="3216"/>
          </w:tcPr>
          <w:p>
            <w:r>
              <w:t>Vetor 1</w:t>
            </w:r>
          </w:p>
        </w:tc>
      </w:tr>
      <w:tr>
        <w:tc>
          <w:tcPr>
            <w:tcW w:type="dxa" w:w="3216"/>
          </w:tcPr>
          <w:p>
            <w:r>
              <w:t>"O ativo é integralmente ilíquido"</w:t>
            </w:r>
          </w:p>
        </w:tc>
        <w:tc>
          <w:tcPr>
            <w:tcW w:type="dxa" w:w="3216"/>
          </w:tcPr>
          <w:p>
            <w:r>
              <w:t>O próprio sistema judicial fornece a contraprova — R$ 749 mil em 2025; R$ 27,8 mil em 2026; R$ 5,4 MM/ano. Iliquidez SELETIVA</w:t>
            </w:r>
          </w:p>
        </w:tc>
        <w:tc>
          <w:tcPr>
            <w:tcW w:type="dxa" w:w="3216"/>
          </w:tcPr>
          <w:p>
            <w:r>
              <w:t>Vetor 2</w:t>
            </w:r>
          </w:p>
        </w:tc>
      </w:tr>
      <w:tr>
        <w:tc>
          <w:tcPr>
            <w:tcW w:type="dxa" w:w="3216"/>
          </w:tcPr>
          <w:p>
            <w:r>
              <w:t>"O Protocolo CNJ é reforço hermenêutico genérico"</w:t>
            </w:r>
          </w:p>
        </w:tc>
        <w:tc>
          <w:tcPr>
            <w:tcW w:type="dxa" w:w="3216"/>
          </w:tcPr>
          <w:p>
            <w:r>
              <w:t>O Protocolo é dever funcional vinculante; descumprimento configura perpetuação da violência</w:t>
            </w:r>
          </w:p>
        </w:tc>
        <w:tc>
          <w:tcPr>
            <w:tcW w:type="dxa" w:w="3216"/>
          </w:tcPr>
          <w:p>
            <w:r>
              <w:t>Vetor 3</w:t>
            </w:r>
          </w:p>
        </w:tc>
      </w:tr>
    </w:tbl>
    <w:p/>
    <w:p>
      <w:pPr>
        <w:jc w:val="both"/>
      </w:pPr>
      <w:r>
        <w:rPr>
          <w:b/>
          <w:i w:val="0"/>
        </w:rPr>
        <w:t>Efeito agregado: fechamento de jogo. Cada porta de saída disponível à defesa é fechada por um vetor. Resta apenas a porta da execução imediata da Camada L2 e da reafirmação do regime de constrição da Camada L1. Ao Juízo, a decisão de execução é a única que não produz custo reputacional, funcional e regulatório.</w:t>
      </w:r>
    </w:p>
    <w:p>
      <w:pPr>
        <w:pStyle w:val="Heading1"/>
      </w:pPr>
      <w:r>
        <w:rPr>
          <w:color w:val="1A1A1A"/>
        </w:rPr>
        <w:t>VI. Pedidos G, H e I — aditivos aos pedidos da v4</w:t>
      </w:r>
    </w:p>
    <w:p>
      <w:pPr>
        <w:jc w:val="both"/>
      </w:pPr>
      <w:r>
        <w:rPr>
          <w:b/>
          <w:i w:val="0"/>
        </w:rPr>
        <w:t>Pedido G — Responsabilização pessoal do administrador. Intimação pessoal do Diretor responsável pela administração fiduciária do FIP Ajaccio na OSLO Capital DTVM (CNPJ 13.673.855/0001-25), em endereço a ser indicado após verificação na CVM, para cumprimento em 5 dias, sob: (i) multa diária pessoal de 1% (CPC arts. 537 e 814); (ii) ofício ao MP para crime de desobediência (CP art. 330); (iii) ato atentatório à dignidade da justiça (CPC arts. 77 IV e VI, e 774 III e IV), com multa solidária até 20% do valor da causa; (iv) comunicação à CVM e ANBIMA (RCVM 175/2022 art. 39).</w:t>
      </w:r>
    </w:p>
    <w:p>
      <w:pPr>
        <w:jc w:val="both"/>
      </w:pPr>
      <w:r>
        <w:rPr>
          <w:b/>
          <w:i w:val="0"/>
        </w:rPr>
        <w:t>Pedido H — Reconhecimento da liquidez seletiva como fato novo. Reconhecimento, à vista dos pagamentos de R$ 749.183,38 em 29/01/2025, do fluxo R$ 5,4 MM/ano via Apoio Administrativo, e do cumprimento integral pelo BTG da ordem SISBAJUD de 31/03/2026 (R$ 27.799,79, cód. 12), de existência de LIQUIDEZ SELETIVA no veículo Ajaccio — configurando padrão de conduta funcionalmente equivalente à fraude à execução (CPC art. 792) e violência patrimonial (LMP art. 7º IV; TJPR AI 0048238-92.2024).</w:t>
      </w:r>
    </w:p>
    <w:p>
      <w:pPr>
        <w:jc w:val="both"/>
      </w:pPr>
      <w:r>
        <w:rPr>
          <w:b/>
          <w:i w:val="0"/>
        </w:rPr>
        <w:t>Pedido I — Aplicação do Protocolo CNJ 492/2023 como dever funcional. Reconhecimento expresso de que a Resolução CNJ nº 492/2023 impõe dever funcional vinculante à Magistratura também nas Varas de Família (LMP art. 14-A §1º; STJ 4ª Turma Info Extr. 23/2025), e de que a manutenção do bloqueio sem entrega à Requerente em 1.095+ dias, em concomitância com a renda do Requerido (Vetor 2) e a interrupção da cobertura médica documentada (atestado 05/05/2026), configura perpetuação da violência patrimonial — devendo ser coibida por execução imediata da Camada L2 e reafirmação do regime L1.</w:t>
      </w:r>
    </w:p>
    <w:p>
      <w:pPr>
        <w:pStyle w:val="Heading1"/>
      </w:pPr>
      <w:r>
        <w:rPr>
          <w:color w:val="1A1A1A"/>
        </w:rPr>
        <w:t>VII. Calibragem honesta de probabilidade</w:t>
      </w:r>
    </w:p>
    <w:p>
      <w:pPr>
        <w:jc w:val="both"/>
      </w:pPr>
      <w:r>
        <w:rPr>
          <w:b/>
          <w:i w:val="0"/>
        </w:rPr>
        <w:t>O insumo recebido sugere "100% de chance de êxito". Como Relator Jurídico, registro: NENHUM trabalho técnico-jurídico pode prometer 100% — variáveis externas permanecem fora do nosso domínio. O que esta v5 efetivamente entrega é a BLINDAGEM MÁXIMA das variáveis sob controle.</w:t>
      </w:r>
    </w:p>
    <w:p>
      <w:pPr>
        <w:jc w:val="both"/>
      </w:pPr>
      <w:r>
        <w:rPr>
          <w:b w:val="0"/>
          <w:i w:val="0"/>
        </w:rPr>
        <w:t>Estimativa calibrada:</w:t>
      </w:r>
    </w:p>
    <w:p>
      <w:pPr>
        <w:jc w:val="both"/>
      </w:pPr>
      <w:r>
        <w:rPr>
          <w:b w:val="0"/>
          <w:i w:val="0"/>
        </w:rPr>
        <w:t>• Cenário Melhor (28-35%) — liberação da L2 + reafirmação L1 + reconhecimento expresso da violência patrimonial em 30-90 dias; condenação em danos morais autônomos.</w:t>
      </w:r>
    </w:p>
    <w:p>
      <w:pPr>
        <w:jc w:val="both"/>
      </w:pPr>
      <w:r>
        <w:rPr>
          <w:b w:val="0"/>
          <w:i w:val="0"/>
        </w:rPr>
        <w:t>• Cenário Provável (50-60%) — liberação L2 em 60-180 dias; reafirmação L1 com averbação; tutela autônoma de saúde fixada; reconhecimento postergado à decisão de mérito.</w:t>
      </w:r>
    </w:p>
    <w:p>
      <w:pPr>
        <w:jc w:val="both"/>
      </w:pPr>
      <w:r>
        <w:rPr>
          <w:b w:val="0"/>
          <w:i w:val="0"/>
        </w:rPr>
        <w:t>• Cenário Risco (10-20%) — protelação adicional via incidentes; mitigado pelos Vetores 1 e 2 que produzem custo reputacional por iteração de procrastinação.</w:t>
      </w:r>
    </w:p>
    <w:p>
      <w:pPr>
        <w:jc w:val="both"/>
      </w:pPr>
      <w:r>
        <w:rPr>
          <w:b/>
          <w:i w:val="0"/>
        </w:rPr>
        <w:t>Probabilidade agregada de algum resultado concreto em 6 meses sobre L2 ou tutela autônoma de saúde: faixa 75-90%. A pretensão de "100%" é retoricamente atraente mas tecnicamente indefensável.</w:t>
      </w:r>
    </w:p>
    <w:p>
      <w:pPr>
        <w:pStyle w:val="Heading1"/>
      </w:pPr>
      <w:r>
        <w:rPr>
          <w:color w:val="1A1A1A"/>
        </w:rPr>
        <w:t>VIII. Silogismo de fechamento — v5</w:t>
      </w:r>
    </w:p>
    <w:p>
      <w:pPr>
        <w:jc w:val="both"/>
      </w:pPr>
      <w:r>
        <w:rPr>
          <w:b w:val="0"/>
          <w:i w:val="0"/>
        </w:rPr>
        <w:t>P1 — Norma. RCVM 175/2022 atribui ao administrador dever fiduciário pessoal; CPC 537 autoriza multa pessoal; CP 330 tipifica desobediência; CPC 77 e 774 tipificam ato atentatório; Res. CNJ 492/2023 impõe dever funcional de julgamento com perspectiva de gênero.</w:t>
      </w:r>
    </w:p>
    <w:p>
      <w:pPr>
        <w:jc w:val="both"/>
      </w:pPr>
      <w:r>
        <w:rPr>
          <w:b w:val="0"/>
          <w:i w:val="0"/>
        </w:rPr>
        <w:t>P2 — Fato. A administradora — OSLO Capital DTVM, mesmo CNPJ 13.673.855/0001-25 — opera transferências do FIP Ajaccio quando o destinatário é o Requerido (R$ 749 mil em 29/01/2025; R$ 5,4 MM/ano via Apoio Adm.; ordem SISBAJUD 31/03/2026 cumprida em horas) e simula iliquidez quando a destinatária seria a Requerente, há 1.095+ dias.</w:t>
      </w:r>
    </w:p>
    <w:p>
      <w:pPr>
        <w:jc w:val="both"/>
      </w:pPr>
      <w:r>
        <w:rPr>
          <w:b w:val="0"/>
          <w:i w:val="0"/>
        </w:rPr>
        <w:t>P3 — Efeito. A manutenção desse padrão, em assimetria informacional vinculante e com dano psicofisiológico documentado (atestado 05/05/2026), perpetua, no próprio processo, a violência patrimonial reconhecida pelo TJPR AI 0048238-92.2024.</w:t>
      </w:r>
    </w:p>
    <w:p>
      <w:pPr>
        <w:jc w:val="both"/>
      </w:pPr>
      <w:r>
        <w:rPr>
          <w:b/>
          <w:i w:val="0"/>
        </w:rPr>
        <w:t>Conclusão. A decisão de execução imediata da Camada L2 e reafirmação do regime de constrição da Camada L1, com individualização da responsabilidade do administrador e reconhecimento da violência patrimonial, é a ÚNICA DECISÃO QUE CUMPRE SIMULTANEAMENTE (i) o dever funcional do CNJ, (ii) o regime do art. 854 §3º e do Tema 1.235/STJ, (iii) o regime fiduciário da RCVM 175/2022, e (iv) o quadro probatório dos autos. Qualquer decisão diversa terá CUSTO INSTITUCIONAL EXPLÍCITO.</w:t>
      </w:r>
    </w:p>
    <w:p>
      <w:pPr>
        <w:pStyle w:val="Heading1"/>
      </w:pPr>
      <w:r>
        <w:rPr>
          <w:color w:val="1A1A1A"/>
        </w:rPr>
        <w:t>IX. Conformidade metodológica</w:t>
      </w:r>
    </w:p>
    <w:p>
      <w:pPr>
        <w:jc w:val="both"/>
      </w:pPr>
      <w:r>
        <w:rPr>
          <w:b w:val="0"/>
          <w:i w:val="0"/>
        </w:rPr>
        <w:t>Este patch (v5) sucede e complementa as versões 1 a 4 (Docs. 16, 17, 18 e 19). Toda afirmação fática está ancorada em folhas dos autos, registro público, norma vigente ou recibo SISBAJUD identificável; qualificações jurídicas de conduta alheia são descritas em tese, sob CF 5º LVII.</w:t>
      </w:r>
    </w:p>
    <w:p>
      <w:pPr>
        <w:jc w:val="both"/>
      </w:pPr>
      <w:r>
        <w:rPr>
          <w:b w:val="0"/>
          <w:i w:val="0"/>
        </w:rPr>
        <w:t>Os três vetores deste patch operam exclusivamente como arquitetura retórica de blindagem dos pedidos cíveis. Não importam executoriedade penal para a esfera cível: o desdobramento penal eventual (crime de desobediência, fraude à execução, lavagem) é matéria de SEDE PRÓPRIA — notícia-crime autônoma instruída ao MP.</w:t>
      </w:r>
    </w:p>
    <w:p>
      <w:pPr>
        <w:jc w:val="both"/>
      </w:pPr>
      <w:r>
        <w:rPr>
          <w:b w:val="0"/>
          <w:i w:val="0"/>
        </w:rPr>
        <w:t>Conversão em peça subscrita por OAB e em laudo CRC/CORECON antes de qualquer uso processual. A identificação nominal do Diretor responsável pela administração fiduciária na OSLO Capital DTVM (Vetor 1) deve ser confirmada na ata de eleição mais recente publicada na CVM antes da redação final.</w:t>
      </w:r>
    </w:p>
    <w:p>
      <w:pPr>
        <w:jc w:val="center"/>
      </w:pPr>
      <w:r>
        <w:rPr>
          <w:i/>
          <w:sz w:val="17"/>
        </w:rPr>
        <w:t>Série DOSSIÊS E NOTAS TÉCNICAS — documento 20 · Patch v5 · sucede Docs. 16-19 · 14/06/2026 · INSTRUMENTO INTERNO · CONFIDENCIAL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