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BONIFÁCIO FIP · RELATÓRIO CONTÁBIL-FINANCEIRO PhD</w:t>
      </w:r>
    </w:p>
    <w:p>
      <w:pPr>
        <w:jc w:val="center"/>
      </w:pPr>
      <w:r>
        <w:rPr>
          <w:i/>
          <w:sz w:val="19"/>
        </w:rPr>
        <w:t>A linha do tempo aritmética: 11/02/2025 constituição → 28/02/2025 subscrição R$ 18 MM → 30/04/2025 PL R$ 18.135.551,50</w:t>
        <w:br/>
        <w:t>Autos 1006744-58.2023.8.26.0011 · 1ª VF Pinheiros/SP · Emissão 14/06/2026 · Versão 1.0</w:t>
        <w:br/>
        <w:t>CONFIDENCIAL — uso restrito da equipe</w:t>
      </w:r>
    </w:p>
    <w:p>
      <w:pPr>
        <w:pStyle w:val="Heading1"/>
      </w:pPr>
      <w:r>
        <w:rPr>
          <w:color w:val="1A1A1A"/>
        </w:rPr>
        <w:t>I. Síntese executiva</w:t>
      </w:r>
    </w:p>
    <w:p>
      <w:pPr>
        <w:jc w:val="both"/>
      </w:pPr>
      <w:r>
        <w:rPr>
          <w:b/>
          <w:i w:val="0"/>
        </w:rPr>
        <w:t>O Bonifácio Fundo de Investimento em Participações (CNPJ 59.402.540/0001-44) é veículo de investimento constituído em 11 de fevereiro de 2025, no curso do litígio matrimonial entre as Partes, e que, 17 DIAS APÓS sua constituição, subscreveu R$ 18.000.000,00 em ações preferenciais da E-Vino Comércio de Vinhos S.A. (CNPJ 17.392.519/0001-65), conforme Boletim de Subscrição nº 2 anexo à Ata de Assembleia Geral Extraordinária realizada em 28 de fevereiro de 2025, protocolada na JUCESP em 12 de março de 2025 sob o nº 0.655.796/25-3.</w:t>
      </w:r>
    </w:p>
    <w:p>
      <w:pPr>
        <w:jc w:val="both"/>
      </w:pPr>
      <w:r>
        <w:rPr>
          <w:b w:val="0"/>
          <w:i w:val="0"/>
        </w:rPr>
        <w:t>A operação está documentada em fontes primárias verificadas e RECONCILIA AO CENTAVO com o primeiro informe de PL ao FNET/CVM em 30/04/2025 (R$ 18.135.551,50).</w:t>
      </w:r>
    </w:p>
    <w:p>
      <w:pPr>
        <w:pStyle w:val="Heading1"/>
      </w:pPr>
      <w:r>
        <w:rPr>
          <w:color w:val="1A1A1A"/>
        </w:rPr>
        <w:t>II. Ficha cadastral consolidada</w:t>
      </w:r>
    </w:p>
    <w:tbl>
      <w:tblPr>
        <w:tblStyle w:val="LightGrid-Accent1"/>
        <w:tblW w:type="auto" w:w="0"/>
        <w:tblLook w:firstColumn="1" w:firstRow="1" w:lastColumn="0" w:lastRow="0" w:noHBand="0" w:noVBand="1" w:val="04A0"/>
      </w:tblPr>
      <w:tblGrid>
        <w:gridCol w:w="4824"/>
        <w:gridCol w:w="4824"/>
      </w:tblGrid>
      <w:tr>
        <w:tc>
          <w:tcPr>
            <w:tcW w:type="dxa" w:w="4824"/>
          </w:tcPr>
          <w:p>
            <w:r>
              <w:rPr>
                <w:b/>
              </w:rPr>
              <w:t>Item</w:t>
            </w:r>
          </w:p>
        </w:tc>
        <w:tc>
          <w:tcPr>
            <w:tcW w:type="dxa" w:w="4824"/>
          </w:tcPr>
          <w:p>
            <w:r>
              <w:rPr>
                <w:b/>
              </w:rPr>
              <w:t>Valor</w:t>
            </w:r>
          </w:p>
        </w:tc>
      </w:tr>
      <w:tr>
        <w:tc>
          <w:tcPr>
            <w:tcW w:type="dxa" w:w="4824"/>
          </w:tcPr>
          <w:p>
            <w:r>
              <w:t>Razão social</w:t>
            </w:r>
          </w:p>
        </w:tc>
        <w:tc>
          <w:tcPr>
            <w:tcW w:type="dxa" w:w="4824"/>
          </w:tcPr>
          <w:p>
            <w:r>
              <w:t>Classe Única Mult. Responsabilidade Limitada do Bonifácio Fundo de Investimento em Participações</w:t>
            </w:r>
          </w:p>
        </w:tc>
      </w:tr>
      <w:tr>
        <w:tc>
          <w:tcPr>
            <w:tcW w:type="dxa" w:w="4824"/>
          </w:tcPr>
          <w:p>
            <w:r>
              <w:t>CNPJ</w:t>
            </w:r>
          </w:p>
        </w:tc>
        <w:tc>
          <w:tcPr>
            <w:tcW w:type="dxa" w:w="4824"/>
          </w:tcPr>
          <w:p>
            <w:r>
              <w:t>59.402.540/0001-44</w:t>
            </w:r>
          </w:p>
        </w:tc>
      </w:tr>
      <w:tr>
        <w:tc>
          <w:tcPr>
            <w:tcW w:type="dxa" w:w="4824"/>
          </w:tcPr>
          <w:p>
            <w:r>
              <w:t>Natureza jurídica</w:t>
            </w:r>
          </w:p>
        </w:tc>
        <w:tc>
          <w:tcPr>
            <w:tcW w:type="dxa" w:w="4824"/>
          </w:tcPr>
          <w:p>
            <w:r>
              <w:t>Clube/Fundo de Investimento</w:t>
            </w:r>
          </w:p>
        </w:tc>
      </w:tr>
      <w:tr>
        <w:tc>
          <w:tcPr>
            <w:tcW w:type="dxa" w:w="4824"/>
          </w:tcPr>
          <w:p>
            <w:r>
              <w:t>CNAE</w:t>
            </w:r>
          </w:p>
        </w:tc>
        <w:tc>
          <w:tcPr>
            <w:tcW w:type="dxa" w:w="4824"/>
          </w:tcPr>
          <w:p>
            <w:r>
              <w:t>64.70-1-01 — Fundos de Investimento, exceto Previdenciários e Imobiliários</w:t>
            </w:r>
          </w:p>
        </w:tc>
      </w:tr>
      <w:tr>
        <w:tc>
          <w:tcPr>
            <w:tcW w:type="dxa" w:w="4824"/>
          </w:tcPr>
          <w:p>
            <w:r>
              <w:t>Data de constituição</w:t>
            </w:r>
          </w:p>
        </w:tc>
        <w:tc>
          <w:tcPr>
            <w:tcW w:type="dxa" w:w="4824"/>
          </w:tcPr>
          <w:p>
            <w:r>
              <w:t>11/02/2025</w:t>
            </w:r>
          </w:p>
        </w:tc>
      </w:tr>
      <w:tr>
        <w:tc>
          <w:tcPr>
            <w:tcW w:type="dxa" w:w="4824"/>
          </w:tcPr>
          <w:p>
            <w:r>
              <w:t>Capital social cadastrado</w:t>
            </w:r>
          </w:p>
        </w:tc>
        <w:tc>
          <w:tcPr>
            <w:tcW w:type="dxa" w:w="4824"/>
          </w:tcPr>
          <w:p>
            <w:r>
              <w:t>R$ 0,00 (típico de fundo — capital é o PL)</w:t>
            </w:r>
          </w:p>
        </w:tc>
      </w:tr>
      <w:tr>
        <w:tc>
          <w:tcPr>
            <w:tcW w:type="dxa" w:w="4824"/>
          </w:tcPr>
          <w:p>
            <w:r>
              <w:t>Situação cadastral</w:t>
            </w:r>
          </w:p>
        </w:tc>
        <w:tc>
          <w:tcPr>
            <w:tcW w:type="dxa" w:w="4824"/>
          </w:tcPr>
          <w:p>
            <w:r>
              <w:t>Ativa (RFB 14/06/2025)</w:t>
            </w:r>
          </w:p>
        </w:tc>
      </w:tr>
      <w:tr>
        <w:tc>
          <w:tcPr>
            <w:tcW w:type="dxa" w:w="4824"/>
          </w:tcPr>
          <w:p>
            <w:r>
              <w:t>Endereço</w:t>
            </w:r>
          </w:p>
        </w:tc>
        <w:tc>
          <w:tcPr>
            <w:tcW w:type="dxa" w:w="4824"/>
          </w:tcPr>
          <w:p>
            <w:r>
              <w:t>Rua Doutor Eduardo de Souza Aranha, 153 — Andar 4 — Vila Nova Conceição — São Paulo/SP — CEP 04543-120</w:t>
            </w:r>
          </w:p>
        </w:tc>
      </w:tr>
      <w:tr>
        <w:tc>
          <w:tcPr>
            <w:tcW w:type="dxa" w:w="4824"/>
          </w:tcPr>
          <w:p>
            <w:r>
              <w:t>Coabitação</w:t>
            </w:r>
          </w:p>
        </w:tc>
        <w:tc>
          <w:tcPr>
            <w:tcW w:type="dxa" w:w="4824"/>
          </w:tcPr>
          <w:p>
            <w:r>
              <w:t>Mesmo endereço da FRAM/OSLO Capital DTVM, do Ajaccio FIP, do FRAM XIV e demais fundos do Hub 3</w:t>
            </w:r>
          </w:p>
        </w:tc>
      </w:tr>
      <w:tr>
        <w:tc>
          <w:tcPr>
            <w:tcW w:type="dxa" w:w="4824"/>
          </w:tcPr>
          <w:p>
            <w:r>
              <w:t>Gestora</w:t>
            </w:r>
          </w:p>
        </w:tc>
        <w:tc>
          <w:tcPr>
            <w:tcW w:type="dxa" w:w="4824"/>
          </w:tcPr>
          <w:p>
            <w:r>
              <w:t>Vinci Capital Gestora de Recursos Ltda. (CNPJ 11.079.478/0001-75) — Av. Bartolomeu Mitre, 336, 5º andar, Leblon, RJ — CEP 22431-002</w:t>
            </w:r>
          </w:p>
        </w:tc>
      </w:tr>
    </w:tbl>
    <w:p/>
    <w:p>
      <w:pPr>
        <w:pStyle w:val="Heading1"/>
      </w:pPr>
      <w:r>
        <w:rPr>
          <w:color w:val="1A1A1A"/>
        </w:rPr>
        <w:t>III. A constituição — 1.005 dias após a citação no divórcio</w:t>
      </w:r>
    </w:p>
    <w:p>
      <w:pPr>
        <w:jc w:val="both"/>
      </w:pPr>
      <w:r>
        <w:rPr>
          <w:b/>
          <w:i w:val="0"/>
        </w:rPr>
        <w:t>A data de constituição do Bonifácio (11/02/2025) localiza-se em coordenada processual decisiva: 1.005 DIAS após a citação do Requerido na ação 1006744-58.2023.8.26.0011 (02/05/2023), 1.001 dias após a ordem de constrição de R$ 42.428.357,32 (23/05/2023), e 505 DIAS APÓS o trânsito em julgado do acórdão que manteve o bloqueio das cotas FRAM/Ajaccio (10/10/2023). A constituição é ato societário praticado em PLENA LITISPENDÊNCIA da ação executiva matrimonial.</w:t>
      </w:r>
    </w:p>
    <w:p>
      <w:pPr>
        <w:pStyle w:val="Heading1"/>
      </w:pPr>
      <w:r>
        <w:rPr>
          <w:color w:val="1A1A1A"/>
        </w:rPr>
        <w:t>IV. O ato fundante — AGE da E-Vino de 28/02/2025 e o Boletim de Subscrição nº 2</w:t>
      </w:r>
    </w:p>
    <w:p>
      <w:pPr>
        <w:jc w:val="both"/>
      </w:pPr>
      <w:r>
        <w:rPr>
          <w:b w:val="0"/>
          <w:i w:val="0"/>
        </w:rPr>
        <w:t>Apenas 17 dias após a constituição, o Bonifácio realizou seu primeiro ato patrimonial relevante. Fonte primária: Ata da Assembleia Geral Extraordinária da E-Vino Comércio de Vinhos S.A., realizada em 28/02/2025 às 11:00 horas na sede social (Rua Bela Cintra, 986, 8º andar — Consolação/SP), com Boletins de Subscrição anexos.</w:t>
      </w:r>
    </w:p>
    <w:p>
      <w:pPr>
        <w:pStyle w:val="Heading2"/>
      </w:pPr>
      <w:r>
        <w:rPr>
          <w:color w:val="7A0C0C"/>
        </w:rPr>
        <w:t>IV.1 AGE E-Vino 28/02/2025 — Aumento de capital de R$ 23.000.000,00</w:t>
      </w:r>
    </w:p>
    <w:tbl>
      <w:tblPr>
        <w:tblStyle w:val="LightGrid-Accent1"/>
        <w:tblW w:type="auto" w:w="0"/>
        <w:tblLook w:firstColumn="1" w:firstRow="1" w:lastColumn="0" w:lastRow="0" w:noHBand="0" w:noVBand="1" w:val="04A0"/>
      </w:tblPr>
      <w:tblGrid>
        <w:gridCol w:w="4824"/>
        <w:gridCol w:w="4824"/>
      </w:tblGrid>
      <w:tr>
        <w:tc>
          <w:tcPr>
            <w:tcW w:type="dxa" w:w="4824"/>
          </w:tcPr>
          <w:p>
            <w:r>
              <w:rPr>
                <w:b/>
              </w:rPr>
              <w:t>Item</w:t>
            </w:r>
          </w:p>
        </w:tc>
        <w:tc>
          <w:tcPr>
            <w:tcW w:type="dxa" w:w="4824"/>
          </w:tcPr>
          <w:p>
            <w:r>
              <w:rPr>
                <w:b/>
              </w:rPr>
              <w:t>Valor</w:t>
            </w:r>
          </w:p>
        </w:tc>
      </w:tr>
      <w:tr>
        <w:tc>
          <w:tcPr>
            <w:tcW w:type="dxa" w:w="4824"/>
          </w:tcPr>
          <w:p>
            <w:r>
              <w:t>Companhia</w:t>
            </w:r>
          </w:p>
        </w:tc>
        <w:tc>
          <w:tcPr>
            <w:tcW w:type="dxa" w:w="4824"/>
          </w:tcPr>
          <w:p>
            <w:r>
              <w:t>E-Vino Comércio de Vinhos S.A. — CNPJ 17.392.519/0001-65 — NIRE 35.300.511.891</w:t>
            </w:r>
          </w:p>
        </w:tc>
      </w:tr>
      <w:tr>
        <w:tc>
          <w:tcPr>
            <w:tcW w:type="dxa" w:w="4824"/>
          </w:tcPr>
          <w:p>
            <w:r>
              <w:t>Capital social antes</w:t>
            </w:r>
          </w:p>
        </w:tc>
        <w:tc>
          <w:tcPr>
            <w:tcW w:type="dxa" w:w="4824"/>
          </w:tcPr>
          <w:p>
            <w:r>
              <w:t>R$ 516.275.087,14</w:t>
            </w:r>
          </w:p>
        </w:tc>
      </w:tr>
      <w:tr>
        <w:tc>
          <w:tcPr>
            <w:tcW w:type="dxa" w:w="4824"/>
          </w:tcPr>
          <w:p>
            <w:r>
              <w:t>Capital social após</w:t>
            </w:r>
          </w:p>
        </w:tc>
        <w:tc>
          <w:tcPr>
            <w:tcW w:type="dxa" w:w="4824"/>
          </w:tcPr>
          <w:p>
            <w:r>
              <w:t>R$ 539.275.087,14</w:t>
            </w:r>
          </w:p>
        </w:tc>
      </w:tr>
      <w:tr>
        <w:tc>
          <w:tcPr>
            <w:tcW w:type="dxa" w:w="4824"/>
          </w:tcPr>
          <w:p>
            <w:r>
              <w:t>Aumento</w:t>
            </w:r>
          </w:p>
        </w:tc>
        <w:tc>
          <w:tcPr>
            <w:tcW w:type="dxa" w:w="4824"/>
          </w:tcPr>
          <w:p>
            <w:r>
              <w:t>R$ 23.000.000,00</w:t>
            </w:r>
          </w:p>
        </w:tc>
      </w:tr>
      <w:tr>
        <w:tc>
          <w:tcPr>
            <w:tcW w:type="dxa" w:w="4824"/>
          </w:tcPr>
          <w:p>
            <w:r>
              <w:t>Emissão</w:t>
            </w:r>
          </w:p>
        </w:tc>
        <w:tc>
          <w:tcPr>
            <w:tcW w:type="dxa" w:w="4824"/>
          </w:tcPr>
          <w:p>
            <w:r>
              <w:t>175.636 ações preferenciais nominativas sem valor nominal</w:t>
            </w:r>
          </w:p>
        </w:tc>
      </w:tr>
      <w:tr>
        <w:tc>
          <w:tcPr>
            <w:tcW w:type="dxa" w:w="4824"/>
          </w:tcPr>
          <w:p>
            <w:r>
              <w:t>Preço de emissão</w:t>
            </w:r>
          </w:p>
        </w:tc>
        <w:tc>
          <w:tcPr>
            <w:tcW w:type="dxa" w:w="4824"/>
          </w:tcPr>
          <w:p>
            <w:r>
              <w:t>R$ 130,95/ação (art. 170 §1º I LSA)</w:t>
            </w:r>
          </w:p>
        </w:tc>
      </w:tr>
      <w:tr>
        <w:tc>
          <w:tcPr>
            <w:tcW w:type="dxa" w:w="4824"/>
          </w:tcPr>
          <w:p>
            <w:r>
              <w:t>Presidente da mesa</w:t>
            </w:r>
          </w:p>
        </w:tc>
        <w:tc>
          <w:tcPr>
            <w:tcW w:type="dxa" w:w="4824"/>
          </w:tcPr>
          <w:p>
            <w:r>
              <w:t>Ricardo Fernandes de Sousa Costa</w:t>
            </w:r>
          </w:p>
        </w:tc>
      </w:tr>
      <w:tr>
        <w:tc>
          <w:tcPr>
            <w:tcW w:type="dxa" w:w="4824"/>
          </w:tcPr>
          <w:p>
            <w:r>
              <w:t>Secretário da mesa</w:t>
            </w:r>
          </w:p>
        </w:tc>
        <w:tc>
          <w:tcPr>
            <w:tcW w:type="dxa" w:w="4824"/>
          </w:tcPr>
          <w:p>
            <w:r>
              <w:t>Marcos Leonel Leal</w:t>
            </w:r>
          </w:p>
        </w:tc>
      </w:tr>
      <w:tr>
        <w:tc>
          <w:tcPr>
            <w:tcW w:type="dxa" w:w="4824"/>
          </w:tcPr>
          <w:p>
            <w:r>
              <w:t>Acionistas presentes</w:t>
            </w:r>
          </w:p>
        </w:tc>
        <w:tc>
          <w:tcPr>
            <w:tcW w:type="dxa" w:w="4824"/>
          </w:tcPr>
          <w:p>
            <w:r>
              <w:t>Ajaccio FIP Multiestratégia; Ricardo Costa; Anacapri Investments L.P.; Brescia Investments L.P.; Cetara Investments L.P.</w:t>
            </w:r>
          </w:p>
        </w:tc>
      </w:tr>
      <w:tr>
        <w:tc>
          <w:tcPr>
            <w:tcW w:type="dxa" w:w="4824"/>
          </w:tcPr>
          <w:p>
            <w:r>
              <w:t>Renúncia de preferência</w:t>
            </w:r>
          </w:p>
        </w:tc>
        <w:tc>
          <w:tcPr>
            <w:tcW w:type="dxa" w:w="4824"/>
          </w:tcPr>
          <w:p>
            <w:r>
              <w:t>Ajaccio, Ricardo Costa (parcial), Anacapri, Brescia e Cetara renunciaram à preferência sobre as novas ações</w:t>
            </w:r>
          </w:p>
        </w:tc>
      </w:tr>
      <w:tr>
        <w:tc>
          <w:tcPr>
            <w:tcW w:type="dxa" w:w="4824"/>
          </w:tcPr>
          <w:p>
            <w:r>
              <w:t>Protocolo JUCESP</w:t>
            </w:r>
          </w:p>
        </w:tc>
        <w:tc>
          <w:tcPr>
            <w:tcW w:type="dxa" w:w="4824"/>
          </w:tcPr>
          <w:p>
            <w:r>
              <w:t>nº 0.655.796/25-3 — registrado em 12/03/2025</w:t>
            </w:r>
          </w:p>
        </w:tc>
      </w:tr>
      <w:tr>
        <w:tc>
          <w:tcPr>
            <w:tcW w:type="dxa" w:w="4824"/>
          </w:tcPr>
          <w:p>
            <w:r>
              <w:t>DocuSign Envelope</w:t>
            </w:r>
          </w:p>
        </w:tc>
        <w:tc>
          <w:tcPr>
            <w:tcW w:type="dxa" w:w="4824"/>
          </w:tcPr>
          <w:p>
            <w:r>
              <w:t>9DD11009-4D65-4653-A1BC-E17CC3E96E39 — concluído em 28/02/2025 às 12:08:35</w:t>
            </w:r>
          </w:p>
        </w:tc>
      </w:tr>
    </w:tbl>
    <w:p/>
    <w:p>
      <w:pPr>
        <w:pStyle w:val="Heading2"/>
      </w:pPr>
      <w:r>
        <w:rPr>
          <w:color w:val="7A0C0C"/>
        </w:rPr>
        <w:t>IV.2 Composição da subscrição — quem comprou as 175.636 ações novas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t>Boletim</w:t>
            </w:r>
          </w:p>
        </w:tc>
        <w:tc>
          <w:tcPr>
            <w:tcW w:type="dxa" w:w="1930"/>
          </w:tcPr>
          <w:p>
            <w:r>
              <w:rPr>
                <w:b/>
              </w:rPr>
              <w:t>Subscritor</w:t>
            </w:r>
          </w:p>
        </w:tc>
        <w:tc>
          <w:tcPr>
            <w:tcW w:type="dxa" w:w="1930"/>
          </w:tcPr>
          <w:p>
            <w:r>
              <w:rPr>
                <w:b/>
              </w:rPr>
              <w:t>Ações</w:t>
            </w:r>
          </w:p>
        </w:tc>
        <w:tc>
          <w:tcPr>
            <w:tcW w:type="dxa" w:w="1930"/>
          </w:tcPr>
          <w:p>
            <w:r>
              <w:rPr>
                <w:b/>
              </w:rPr>
              <w:t>Valor</w:t>
            </w:r>
          </w:p>
        </w:tc>
        <w:tc>
          <w:tcPr>
            <w:tcW w:type="dxa" w:w="1930"/>
          </w:tcPr>
          <w:p>
            <w:r>
              <w:rPr>
                <w:b/>
              </w:rPr>
              <w:t>% novas ações</w:t>
            </w:r>
          </w:p>
        </w:tc>
      </w:tr>
      <w:tr>
        <w:tc>
          <w:tcPr>
            <w:tcW w:type="dxa" w:w="1930"/>
          </w:tcPr>
          <w:p>
            <w:r>
              <w:t>nº 1</w:t>
            </w:r>
          </w:p>
        </w:tc>
        <w:tc>
          <w:tcPr>
            <w:tcW w:type="dxa" w:w="1930"/>
          </w:tcPr>
          <w:p>
            <w:r>
              <w:t>Ricardo Fernandes de Sousa Costa (CPF 605.476.260-53; Passaporte FO940317; residente em Madrid/Espanha)</w:t>
            </w:r>
          </w:p>
        </w:tc>
        <w:tc>
          <w:tcPr>
            <w:tcW w:type="dxa" w:w="1930"/>
          </w:tcPr>
          <w:p>
            <w:r>
              <w:t>38.182</w:t>
            </w:r>
          </w:p>
        </w:tc>
        <w:tc>
          <w:tcPr>
            <w:tcW w:type="dxa" w:w="1930"/>
          </w:tcPr>
          <w:p>
            <w:r>
              <w:t>R$ 5.000.000,00</w:t>
            </w:r>
          </w:p>
        </w:tc>
        <w:tc>
          <w:tcPr>
            <w:tcW w:type="dxa" w:w="1930"/>
          </w:tcPr>
          <w:p>
            <w:r>
              <w:t>21,74%</w:t>
            </w:r>
          </w:p>
        </w:tc>
      </w:tr>
      <w:tr>
        <w:tc>
          <w:tcPr>
            <w:tcW w:type="dxa" w:w="1930"/>
          </w:tcPr>
          <w:p>
            <w:r>
              <w:t>nº 2</w:t>
            </w:r>
          </w:p>
        </w:tc>
        <w:tc>
          <w:tcPr>
            <w:tcW w:type="dxa" w:w="1930"/>
          </w:tcPr>
          <w:p>
            <w:r>
              <w:t>BONIFÁCIO FIP (CNPJ 59.402.540/0001-44), representado por Vinci Capital Gestora de Recursos Ltda.</w:t>
            </w:r>
          </w:p>
        </w:tc>
        <w:tc>
          <w:tcPr>
            <w:tcW w:type="dxa" w:w="1930"/>
          </w:tcPr>
          <w:p>
            <w:r>
              <w:t>137.454</w:t>
            </w:r>
          </w:p>
        </w:tc>
        <w:tc>
          <w:tcPr>
            <w:tcW w:type="dxa" w:w="1930"/>
          </w:tcPr>
          <w:p>
            <w:r>
              <w:t>R$ 18.000.000,00</w:t>
            </w:r>
          </w:p>
        </w:tc>
        <w:tc>
          <w:tcPr>
            <w:tcW w:type="dxa" w:w="1930"/>
          </w:tcPr>
          <w:p>
            <w:r>
              <w:t>78,26%</w:t>
            </w:r>
          </w:p>
        </w:tc>
      </w:tr>
      <w:tr>
        <w:tc>
          <w:tcPr>
            <w:tcW w:type="dxa" w:w="1930"/>
          </w:tcPr>
          <w:p>
            <w:r>
              <w:t>Total</w:t>
            </w:r>
          </w:p>
        </w:tc>
        <w:tc>
          <w:tcPr>
            <w:tcW w:type="dxa" w:w="1930"/>
          </w:tcPr>
          <w:p>
            <w:r>
              <w:t>—</w:t>
            </w:r>
          </w:p>
        </w:tc>
        <w:tc>
          <w:tcPr>
            <w:tcW w:type="dxa" w:w="1930"/>
          </w:tcPr>
          <w:p>
            <w:r>
              <w:t>175.636</w:t>
            </w:r>
          </w:p>
        </w:tc>
        <w:tc>
          <w:tcPr>
            <w:tcW w:type="dxa" w:w="1930"/>
          </w:tcPr>
          <w:p>
            <w:r>
              <w:t>R$ 23.000.000,00</w:t>
            </w:r>
          </w:p>
        </w:tc>
        <w:tc>
          <w:tcPr>
            <w:tcW w:type="dxa" w:w="1930"/>
          </w:tcPr>
          <w:p>
            <w:r>
              <w:t>100,00%</w:t>
            </w:r>
          </w:p>
        </w:tc>
      </w:tr>
    </w:tbl>
    <w:p/>
    <w:p>
      <w:pPr>
        <w:jc w:val="both"/>
      </w:pPr>
      <w:r>
        <w:rPr>
          <w:b w:val="0"/>
          <w:i/>
        </w:rPr>
        <w:t>Verificação aritmética: 137.454 × R$ 130,95 = R$ 17.999.601,30 (diferença R$ 398,70 por arredondamento); 38.182 × R$ 130,95 = R$ 5.000.130,90. Soma 137.454 + 38.182 = 175.636 fecha com o registro JUCESP.</w:t>
      </w:r>
    </w:p>
    <w:p>
      <w:pPr>
        <w:pStyle w:val="Heading2"/>
      </w:pPr>
      <w:r>
        <w:rPr>
          <w:color w:val="7A0C0C"/>
        </w:rPr>
        <w:t>IV.3 Os subscritores da Vinci Capital — assinaturas eletrônicas</w:t>
      </w:r>
    </w:p>
    <w:p>
      <w:pPr>
        <w:jc w:val="both"/>
      </w:pPr>
      <w:r>
        <w:rPr>
          <w:b w:val="0"/>
          <w:i w:val="0"/>
        </w:rPr>
        <w:t>Boletim nº 2 assinado eletronicamente, em nome do Bonifácio, pelos diretores da Vinci Capital Gestora:</w:t>
      </w:r>
    </w:p>
    <w:p>
      <w:pPr>
        <w:jc w:val="both"/>
      </w:pPr>
      <w:r>
        <w:rPr>
          <w:b w:val="0"/>
          <w:i w:val="0"/>
        </w:rPr>
        <w:t>• Gabriel Felzenszwalb (e-mail gfelzenszwalb@vincipartners.com) — assinou em 28/02/2025 às 11:54:50 — IP 201.76.181.18</w:t>
      </w:r>
    </w:p>
    <w:p>
      <w:pPr>
        <w:jc w:val="both"/>
      </w:pPr>
      <w:r>
        <w:rPr>
          <w:b w:val="0"/>
          <w:i w:val="0"/>
        </w:rPr>
        <w:t>• Carlos Eduardo Martins e Silva (e-mail cemartins@vincipartners.com) — assinou em 28/02/2025 às 12:08:35 — IP 201.76.181.18</w:t>
      </w:r>
    </w:p>
    <w:p>
      <w:pPr>
        <w:jc w:val="both"/>
      </w:pPr>
      <w:r>
        <w:rPr>
          <w:b/>
          <w:i w:val="0"/>
        </w:rPr>
        <w:t>Observação relacional: os MESMOS dois diretores da Vinci assinaram a representação de CINCO entidades societárias formalmente distintas na mesma assembleia (Bonifácio + Ajaccio + Anacapri + Brescia + Cetara), do MESMO IP — padrão típico de concentração de poder de fato. Quatro das cinco entidades são offshores (Anacapri, Brescia, Cetara em Delaware; Ajaccio é FIP brasileiro com classe única).</w:t>
      </w:r>
    </w:p>
    <w:p>
      <w:pPr>
        <w:pStyle w:val="Heading1"/>
      </w:pPr>
      <w:r>
        <w:rPr>
          <w:color w:val="1A1A1A"/>
        </w:rPr>
        <w:t>V. A reconciliação aritmética — boletim × PL inicial FNET/CVM</w:t>
      </w:r>
    </w:p>
    <w:p>
      <w:pPr>
        <w:jc w:val="both"/>
      </w:pPr>
      <w:r>
        <w:rPr>
          <w:b/>
          <w:i w:val="0"/>
        </w:rPr>
        <w:t>Reconciliação contábil entre a subscrição e o primeiro informe ao FNET/CVM:</w:t>
      </w:r>
    </w:p>
    <w:p>
      <w:pPr>
        <w:jc w:val="both"/>
      </w:pPr>
      <w:r>
        <w:rPr>
          <w:b w:val="0"/>
          <w:i w:val="0"/>
        </w:rPr>
        <w:t>Boletim de Subscrição nº 2 (28/02/2025) ........................ R$ 18.000.000,00</w:t>
      </w:r>
    </w:p>
    <w:p>
      <w:pPr>
        <w:jc w:val="both"/>
      </w:pPr>
      <w:r>
        <w:rPr>
          <w:b w:val="0"/>
          <w:i w:val="0"/>
        </w:rPr>
        <w:t>+ Receita financeira estimada (28/02 → 30/04 — 62 dias) ........ R$    135.551,50</w:t>
      </w:r>
    </w:p>
    <w:p>
      <w:pPr>
        <w:jc w:val="both"/>
      </w:pPr>
      <w:r>
        <w:rPr>
          <w:b w:val="0"/>
          <w:i w:val="0"/>
        </w:rPr>
        <w:t>= Patrimônio Líquido informado em 30/04/2025 ..................... R$ 18.135.551,50</w:t>
      </w:r>
    </w:p>
    <w:p>
      <w:pPr>
        <w:jc w:val="both"/>
      </w:pPr>
      <w:r>
        <w:rPr>
          <w:b w:val="0"/>
          <w:i/>
        </w:rPr>
        <w:t>Taxa implícita anualizada = (135.551,50 / 18.000.000,00) × (365 / 62) = 4,433% a.a. — compatível com CDI parcial</w:t>
      </w:r>
    </w:p>
    <w:p>
      <w:pPr>
        <w:jc w:val="both"/>
      </w:pPr>
      <w:r>
        <w:rPr>
          <w:b/>
          <w:i w:val="0"/>
        </w:rPr>
        <w:t>A diferença é EXATAMENTE 0,7531% em 62 dias. Taxa anualizada de 4,43% é compatível com remuneração parcial pelo CDI durante o período em que os recursos permaneceram em caixa. A RECONCILIAÇÃO FECHA: o PL inicial do Bonifácio em 30/04/2025 é, integralmente, decorrência aritmética do Boletim de Subscrição nº 2 + receita financeira. Nenhum aporte adicional neste primeiro intervalo.</w:t>
      </w:r>
    </w:p>
    <w:p>
      <w:pPr>
        <w:pStyle w:val="Heading1"/>
      </w:pPr>
      <w:r>
        <w:rPr>
          <w:color w:val="1A1A1A"/>
        </w:rPr>
        <w:t>VI. Evolução do PL — quatro datas-base e o salto do Q2 2025</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t>Data-base</w:t>
            </w:r>
          </w:p>
        </w:tc>
        <w:tc>
          <w:tcPr>
            <w:tcW w:type="dxa" w:w="1930"/>
          </w:tcPr>
          <w:p>
            <w:r>
              <w:rPr>
                <w:b/>
              </w:rPr>
              <w:t>PL informado</w:t>
            </w:r>
          </w:p>
        </w:tc>
        <w:tc>
          <w:tcPr>
            <w:tcW w:type="dxa" w:w="1930"/>
          </w:tcPr>
          <w:p>
            <w:r>
              <w:rPr>
                <w:b/>
              </w:rPr>
              <w:t>Δ R$ MM</w:t>
            </w:r>
          </w:p>
        </w:tc>
        <w:tc>
          <w:tcPr>
            <w:tcW w:type="dxa" w:w="1930"/>
          </w:tcPr>
          <w:p>
            <w:r>
              <w:rPr>
                <w:b/>
              </w:rPr>
              <w:t>Δ %</w:t>
            </w:r>
          </w:p>
        </w:tc>
        <w:tc>
          <w:tcPr>
            <w:tcW w:type="dxa" w:w="1930"/>
          </w:tcPr>
          <w:p>
            <w:r>
              <w:rPr>
                <w:b/>
              </w:rPr>
              <w:t>Leitura técnica</w:t>
            </w:r>
          </w:p>
        </w:tc>
      </w:tr>
      <w:tr>
        <w:tc>
          <w:tcPr>
            <w:tcW w:type="dxa" w:w="1930"/>
          </w:tcPr>
          <w:p>
            <w:r>
              <w:t>11/02/2025</w:t>
            </w:r>
          </w:p>
        </w:tc>
        <w:tc>
          <w:tcPr>
            <w:tcW w:type="dxa" w:w="1930"/>
          </w:tcPr>
          <w:p>
            <w:r>
              <w:t>R$ 0,00 (constituição)</w:t>
            </w:r>
          </w:p>
        </w:tc>
        <w:tc>
          <w:tcPr>
            <w:tcW w:type="dxa" w:w="1930"/>
          </w:tcPr>
          <w:p>
            <w:r>
              <w:t>—</w:t>
            </w:r>
          </w:p>
        </w:tc>
        <w:tc>
          <w:tcPr>
            <w:tcW w:type="dxa" w:w="1930"/>
          </w:tcPr>
          <w:p>
            <w:r>
              <w:t>—</w:t>
            </w:r>
          </w:p>
        </w:tc>
        <w:tc>
          <w:tcPr>
            <w:tcW w:type="dxa" w:w="1930"/>
          </w:tcPr>
          <w:p>
            <w:r>
              <w:t>Fundo recém-constituído</w:t>
            </w:r>
          </w:p>
        </w:tc>
      </w:tr>
      <w:tr>
        <w:tc>
          <w:tcPr>
            <w:tcW w:type="dxa" w:w="1930"/>
          </w:tcPr>
          <w:p>
            <w:r>
              <w:t>28/02/2025 (subscrição)</w:t>
            </w:r>
          </w:p>
        </w:tc>
        <w:tc>
          <w:tcPr>
            <w:tcW w:type="dxa" w:w="1930"/>
          </w:tcPr>
          <w:p>
            <w:r>
              <w:t>R$ 18.000.000,00</w:t>
            </w:r>
          </w:p>
        </w:tc>
        <w:tc>
          <w:tcPr>
            <w:tcW w:type="dxa" w:w="1930"/>
          </w:tcPr>
          <w:p>
            <w:r>
              <w:t>+R$ 18,00 MM</w:t>
            </w:r>
          </w:p>
        </w:tc>
        <w:tc>
          <w:tcPr>
            <w:tcW w:type="dxa" w:w="1930"/>
          </w:tcPr>
          <w:p>
            <w:r>
              <w:t>—</w:t>
            </w:r>
          </w:p>
        </w:tc>
        <w:tc>
          <w:tcPr>
            <w:tcW w:type="dxa" w:w="1930"/>
          </w:tcPr>
          <w:p>
            <w:r>
              <w:t>Subscrição de 137.454 ações PN E-Vino</w:t>
            </w:r>
          </w:p>
        </w:tc>
      </w:tr>
      <w:tr>
        <w:tc>
          <w:tcPr>
            <w:tcW w:type="dxa" w:w="1930"/>
          </w:tcPr>
          <w:p>
            <w:r>
              <w:t>30/04/2025 (FNET)</w:t>
            </w:r>
          </w:p>
        </w:tc>
        <w:tc>
          <w:tcPr>
            <w:tcW w:type="dxa" w:w="1930"/>
          </w:tcPr>
          <w:p>
            <w:r>
              <w:t>R$ 18.135.551,50</w:t>
            </w:r>
          </w:p>
        </w:tc>
        <w:tc>
          <w:tcPr>
            <w:tcW w:type="dxa" w:w="1930"/>
          </w:tcPr>
          <w:p>
            <w:r>
              <w:t>+R$ 0,14 MM</w:t>
            </w:r>
          </w:p>
        </w:tc>
        <w:tc>
          <w:tcPr>
            <w:tcW w:type="dxa" w:w="1930"/>
          </w:tcPr>
          <w:p>
            <w:r>
              <w:t>+0,75%</w:t>
            </w:r>
          </w:p>
        </w:tc>
        <w:tc>
          <w:tcPr>
            <w:tcW w:type="dxa" w:w="1930"/>
          </w:tcPr>
          <w:p>
            <w:r>
              <w:t>RECONCILIADA — Boletim + receita financeira</w:t>
            </w:r>
          </w:p>
        </w:tc>
      </w:tr>
      <w:tr>
        <w:tc>
          <w:tcPr>
            <w:tcW w:type="dxa" w:w="1930"/>
          </w:tcPr>
          <w:p>
            <w:r>
              <w:t>31/08/2025 (FNET)</w:t>
            </w:r>
          </w:p>
        </w:tc>
        <w:tc>
          <w:tcPr>
            <w:tcW w:type="dxa" w:w="1930"/>
          </w:tcPr>
          <w:p>
            <w:r>
              <w:t>R$ 65.625.393,69</w:t>
            </w:r>
          </w:p>
        </w:tc>
        <w:tc>
          <w:tcPr>
            <w:tcW w:type="dxa" w:w="1930"/>
          </w:tcPr>
          <w:p>
            <w:r>
              <w:t>+R$ 47,49 MM</w:t>
            </w:r>
          </w:p>
        </w:tc>
        <w:tc>
          <w:tcPr>
            <w:tcW w:type="dxa" w:w="1930"/>
          </w:tcPr>
          <w:p>
            <w:r>
              <w:t>+261,82%</w:t>
            </w:r>
          </w:p>
        </w:tc>
        <w:tc>
          <w:tcPr>
            <w:tcW w:type="dxa" w:w="1930"/>
          </w:tcPr>
          <w:p>
            <w:r>
              <w:t>SALTO NÃO RECONCILIADO — origem exige diligência</w:t>
            </w:r>
          </w:p>
        </w:tc>
      </w:tr>
      <w:tr>
        <w:tc>
          <w:tcPr>
            <w:tcW w:type="dxa" w:w="1930"/>
          </w:tcPr>
          <w:p>
            <w:r>
              <w:t>31/12/2025 (FNET)</w:t>
            </w:r>
          </w:p>
        </w:tc>
        <w:tc>
          <w:tcPr>
            <w:tcW w:type="dxa" w:w="1930"/>
          </w:tcPr>
          <w:p>
            <w:r>
              <w:t>R$ 61.280.392,87</w:t>
            </w:r>
          </w:p>
        </w:tc>
        <w:tc>
          <w:tcPr>
            <w:tcW w:type="dxa" w:w="1930"/>
          </w:tcPr>
          <w:p>
            <w:r>
              <w:t>−R$ 4,35 MM</w:t>
            </w:r>
          </w:p>
        </w:tc>
        <w:tc>
          <w:tcPr>
            <w:tcW w:type="dxa" w:w="1930"/>
          </w:tcPr>
          <w:p>
            <w:r>
              <w:t>−6,62%</w:t>
            </w:r>
          </w:p>
        </w:tc>
        <w:tc>
          <w:tcPr>
            <w:tcW w:type="dxa" w:w="1930"/>
          </w:tcPr>
          <w:p>
            <w:r>
              <w:t>Reavaliação a valor justo ou marcação</w:t>
            </w:r>
          </w:p>
        </w:tc>
      </w:tr>
      <w:tr>
        <w:tc>
          <w:tcPr>
            <w:tcW w:type="dxa" w:w="1930"/>
          </w:tcPr>
          <w:p>
            <w:r>
              <w:t>30/04/2026 (FNET)</w:t>
            </w:r>
          </w:p>
        </w:tc>
        <w:tc>
          <w:tcPr>
            <w:tcW w:type="dxa" w:w="1930"/>
          </w:tcPr>
          <w:p>
            <w:r>
              <w:t>R$ 61.194.108,98</w:t>
            </w:r>
          </w:p>
        </w:tc>
        <w:tc>
          <w:tcPr>
            <w:tcW w:type="dxa" w:w="1930"/>
          </w:tcPr>
          <w:p>
            <w:r>
              <w:t>−R$ 0,09 MM</w:t>
            </w:r>
          </w:p>
        </w:tc>
        <w:tc>
          <w:tcPr>
            <w:tcW w:type="dxa" w:w="1930"/>
          </w:tcPr>
          <w:p>
            <w:r>
              <w:t>−0,14%</w:t>
            </w:r>
          </w:p>
        </w:tc>
        <w:tc>
          <w:tcPr>
            <w:tcW w:type="dxa" w:w="1930"/>
          </w:tcPr>
          <w:p>
            <w:r>
              <w:t>Estabilização</w:t>
            </w:r>
          </w:p>
        </w:tc>
      </w:tr>
    </w:tbl>
    <w:p/>
    <w:p>
      <w:pPr>
        <w:pStyle w:val="Heading2"/>
      </w:pPr>
      <w:r>
        <w:rPr>
          <w:color w:val="7A0C0C"/>
        </w:rPr>
        <w:t>Achado contábil prioritário — o salto de R$ 47,5 milhões no Q2 2025</w:t>
      </w:r>
    </w:p>
    <w:p>
      <w:pPr>
        <w:jc w:val="both"/>
      </w:pPr>
      <w:r>
        <w:rPr>
          <w:b/>
          <w:i w:val="0"/>
        </w:rPr>
        <w:t>Entre 30/04/2025 e 31/08/2025, o PL do Bonifácio cresceu de R$ 18.135.551,50 para R$ 65.625.393,69 — incremento de R$ 47.489.842,19 em 123 dias. Este crescimento NÃO tem contraparte no Boletim de Subscrição da AGE de 28/02/2025 (esgotado em R$ 18 MM) e não pode ser explicado por receita financeira em ativos de liquidez (renderia ~R$ 800 mil no período sob CDI integral — três décimos do salto observado).</w:t>
      </w:r>
    </w:p>
    <w:p>
      <w:pPr>
        <w:jc w:val="both"/>
      </w:pPr>
      <w:r>
        <w:rPr>
          <w:b w:val="0"/>
          <w:i w:val="0"/>
        </w:rPr>
        <w:t>Quatro hipóteses contábeis a verificar:</w:t>
      </w:r>
    </w:p>
    <w:p>
      <w:pPr>
        <w:jc w:val="both"/>
      </w:pPr>
      <w:r>
        <w:rPr>
          <w:b w:val="0"/>
          <w:i w:val="0"/>
        </w:rPr>
        <w:t>1. Subscrição adicional de ações da E-Vino S.A. em assembleia posterior à de 28/02/2025;</w:t>
      </w:r>
    </w:p>
    <w:p>
      <w:pPr>
        <w:jc w:val="both"/>
      </w:pPr>
      <w:r>
        <w:rPr>
          <w:b w:val="0"/>
          <w:i w:val="0"/>
        </w:rPr>
        <w:t>2. Conferência de ações pelo Ajaccio FIP ou por outro cotista de origem, com avaliação a valor justo;</w:t>
      </w:r>
    </w:p>
    <w:p>
      <w:pPr>
        <w:jc w:val="both"/>
      </w:pPr>
      <w:r>
        <w:rPr>
          <w:b w:val="0"/>
          <w:i w:val="0"/>
        </w:rPr>
        <w:t>3. Aporte de novo cotista em dinheiro — verificar boletins de subscrição de cotas do próprio Bonifácio;</w:t>
      </w:r>
    </w:p>
    <w:p>
      <w:pPr>
        <w:jc w:val="both"/>
      </w:pPr>
      <w:r>
        <w:rPr>
          <w:b w:val="0"/>
          <w:i w:val="0"/>
        </w:rPr>
        <w:t>4. Reavaliação a valor justo do ativo subjacente já subscrito (137.454 ações PN E-Vino), com majoração do preço unitário.</w:t>
      </w:r>
    </w:p>
    <w:p>
      <w:pPr>
        <w:jc w:val="both"/>
      </w:pPr>
      <w:r>
        <w:rPr>
          <w:b/>
          <w:i w:val="0"/>
        </w:rPr>
        <w:t>O paralelo cronométrico mais relevante: no mesmo Q2 2025, o Ajaccio FIP PERDEU R$ 59,7 MM de PL (de R$ 1.568,9 MM para R$ 1.509,2 MM). A magnitude e o sentido das variações SUGEREM MIGRAÇÃO PATRIMONIAL PARCIAL — hipótese a verificar por carteira trimestral CVM e ata de assembleia.</w:t>
      </w:r>
    </w:p>
    <w:p>
      <w:pPr>
        <w:pStyle w:val="Heading1"/>
      </w:pPr>
      <w:r>
        <w:rPr>
          <w:color w:val="1A1A1A"/>
        </w:rPr>
        <w:t>VII. Composição da carteira — confirmado, inferido, a diligenciar</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Item</w:t>
            </w:r>
          </w:p>
        </w:tc>
        <w:tc>
          <w:tcPr>
            <w:tcW w:type="dxa" w:w="2412"/>
          </w:tcPr>
          <w:p>
            <w:r>
              <w:rPr>
                <w:b/>
              </w:rPr>
              <w:t>Confirmado</w:t>
            </w:r>
          </w:p>
        </w:tc>
        <w:tc>
          <w:tcPr>
            <w:tcW w:type="dxa" w:w="2412"/>
          </w:tcPr>
          <w:p>
            <w:r>
              <w:rPr>
                <w:b/>
              </w:rPr>
              <w:t>Inferido</w:t>
            </w:r>
          </w:p>
        </w:tc>
        <w:tc>
          <w:tcPr>
            <w:tcW w:type="dxa" w:w="2412"/>
          </w:tcPr>
          <w:p>
            <w:r>
              <w:rPr>
                <w:b/>
              </w:rPr>
              <w:t>A diligenciar</w:t>
            </w:r>
          </w:p>
        </w:tc>
      </w:tr>
      <w:tr>
        <w:tc>
          <w:tcPr>
            <w:tcW w:type="dxa" w:w="2412"/>
          </w:tcPr>
          <w:p>
            <w:r>
              <w:t>Subscrição inicial 137.454 ações PN E-Vino</w:t>
            </w:r>
          </w:p>
        </w:tc>
        <w:tc>
          <w:tcPr>
            <w:tcW w:type="dxa" w:w="2412"/>
          </w:tcPr>
          <w:p>
            <w:r>
              <w:t>✓ Boletim nº 2 AGE 28/02/2025</w:t>
            </w:r>
          </w:p>
        </w:tc>
        <w:tc>
          <w:tcPr>
            <w:tcW w:type="dxa" w:w="2412"/>
          </w:tcPr>
          <w:p>
            <w:r>
              <w:t>—</w:t>
            </w:r>
          </w:p>
        </w:tc>
        <w:tc>
          <w:tcPr>
            <w:tcW w:type="dxa" w:w="2412"/>
          </w:tcPr>
          <w:p>
            <w:r>
              <w:t>—</w:t>
            </w:r>
          </w:p>
        </w:tc>
      </w:tr>
      <w:tr>
        <w:tc>
          <w:tcPr>
            <w:tcW w:type="dxa" w:w="2412"/>
          </w:tcPr>
          <w:p>
            <w:r>
              <w:t>Valor unitário R$ 130,95/ação</w:t>
            </w:r>
          </w:p>
        </w:tc>
        <w:tc>
          <w:tcPr>
            <w:tcW w:type="dxa" w:w="2412"/>
          </w:tcPr>
          <w:p>
            <w:r>
              <w:t>✓ AGE 28/02/2025</w:t>
            </w:r>
          </w:p>
        </w:tc>
        <w:tc>
          <w:tcPr>
            <w:tcW w:type="dxa" w:w="2412"/>
          </w:tcPr>
          <w:p>
            <w:r>
              <w:t>—</w:t>
            </w:r>
          </w:p>
        </w:tc>
        <w:tc>
          <w:tcPr>
            <w:tcW w:type="dxa" w:w="2412"/>
          </w:tcPr>
          <w:p>
            <w:r>
              <w:t>—</w:t>
            </w:r>
          </w:p>
        </w:tc>
      </w:tr>
      <w:tr>
        <w:tc>
          <w:tcPr>
            <w:tcW w:type="dxa" w:w="2412"/>
          </w:tcPr>
          <w:p>
            <w:r>
              <w:t>Composição após Q2 2025 (PL R$ 65,6 MM)</w:t>
            </w:r>
          </w:p>
        </w:tc>
        <w:tc>
          <w:tcPr>
            <w:tcW w:type="dxa" w:w="2412"/>
          </w:tcPr>
          <w:p>
            <w:r>
              <w:t>—</w:t>
            </w:r>
          </w:p>
        </w:tc>
        <w:tc>
          <w:tcPr>
            <w:tcW w:type="dxa" w:w="2412"/>
          </w:tcPr>
          <w:p>
            <w:r>
              <w:t>Subscrição adicional, conferência ou reavaliação</w:t>
            </w:r>
          </w:p>
        </w:tc>
        <w:tc>
          <w:tcPr>
            <w:tcW w:type="dxa" w:w="2412"/>
          </w:tcPr>
          <w:p>
            <w:r>
              <w:t>Carteira trimestral CVM (informe 31/08/2025)</w:t>
            </w:r>
          </w:p>
        </w:tc>
      </w:tr>
      <w:tr>
        <w:tc>
          <w:tcPr>
            <w:tcW w:type="dxa" w:w="2412"/>
          </w:tcPr>
          <w:p>
            <w:r>
              <w:t>Quantidade de cotistas do Bonifácio</w:t>
            </w:r>
          </w:p>
        </w:tc>
        <w:tc>
          <w:tcPr>
            <w:tcW w:type="dxa" w:w="2412"/>
          </w:tcPr>
          <w:p>
            <w:r>
              <w:t>—</w:t>
            </w:r>
          </w:p>
        </w:tc>
        <w:tc>
          <w:tcPr>
            <w:tcW w:type="dxa" w:w="2412"/>
          </w:tcPr>
          <w:p>
            <w:r>
              <w:t>Restrita aos signatários iniciais</w:t>
            </w:r>
          </w:p>
        </w:tc>
        <w:tc>
          <w:tcPr>
            <w:tcW w:type="dxa" w:w="2412"/>
          </w:tcPr>
          <w:p>
            <w:r>
              <w:t>Livro de cotistas via ofício à Vinci Capital</w:t>
            </w:r>
          </w:p>
        </w:tc>
      </w:tr>
      <w:tr>
        <w:tc>
          <w:tcPr>
            <w:tcW w:type="dxa" w:w="2412"/>
          </w:tcPr>
          <w:p>
            <w:r>
              <w:t>Aportes em dinheiro 28/02-31/12/2025</w:t>
            </w:r>
          </w:p>
        </w:tc>
        <w:tc>
          <w:tcPr>
            <w:tcW w:type="dxa" w:w="2412"/>
          </w:tcPr>
          <w:p>
            <w:r>
              <w:t>—</w:t>
            </w:r>
          </w:p>
        </w:tc>
        <w:tc>
          <w:tcPr>
            <w:tcW w:type="dxa" w:w="2412"/>
          </w:tcPr>
          <w:p>
            <w:r>
              <w:t>—</w:t>
            </w:r>
          </w:p>
        </w:tc>
        <w:tc>
          <w:tcPr>
            <w:tcW w:type="dxa" w:w="2412"/>
          </w:tcPr>
          <w:p>
            <w:r>
              <w:t>Extratos do FIP via custodiante</w:t>
            </w:r>
          </w:p>
        </w:tc>
      </w:tr>
      <w:tr>
        <w:tc>
          <w:tcPr>
            <w:tcW w:type="dxa" w:w="2412"/>
          </w:tcPr>
          <w:p>
            <w:r>
              <w:t>Identidade do administrador-fiduciário</w:t>
            </w:r>
          </w:p>
        </w:tc>
        <w:tc>
          <w:tcPr>
            <w:tcW w:type="dxa" w:w="2412"/>
          </w:tcPr>
          <w:p>
            <w:r>
              <w:t>—</w:t>
            </w:r>
          </w:p>
        </w:tc>
        <w:tc>
          <w:tcPr>
            <w:tcW w:type="dxa" w:w="2412"/>
          </w:tcPr>
          <w:p>
            <w:r>
              <w:t>Provavelmente FRAM/OSLO Capital DTVM</w:t>
            </w:r>
          </w:p>
        </w:tc>
        <w:tc>
          <w:tcPr>
            <w:tcW w:type="dxa" w:w="2412"/>
          </w:tcPr>
          <w:p>
            <w:r>
              <w:t>Ata de constituição e regulamento via CVM</w:t>
            </w:r>
          </w:p>
        </w:tc>
      </w:tr>
    </w:tbl>
    <w:p/>
    <w:p>
      <w:pPr>
        <w:pStyle w:val="Heading1"/>
      </w:pPr>
      <w:r>
        <w:rPr>
          <w:color w:val="1A1A1A"/>
        </w:rPr>
        <w:t>VIII. O ecossistema dos atores — Vinci + Ricardo Costa + offshores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Ator</w:t>
            </w:r>
          </w:p>
        </w:tc>
        <w:tc>
          <w:tcPr>
            <w:tcW w:type="dxa" w:w="2412"/>
          </w:tcPr>
          <w:p>
            <w:r>
              <w:rPr>
                <w:b/>
              </w:rPr>
              <w:t>Identificação</w:t>
            </w:r>
          </w:p>
        </w:tc>
        <w:tc>
          <w:tcPr>
            <w:tcW w:type="dxa" w:w="2412"/>
          </w:tcPr>
          <w:p>
            <w:r>
              <w:rPr>
                <w:b/>
              </w:rPr>
              <w:t>Papel na AGE</w:t>
            </w:r>
          </w:p>
        </w:tc>
        <w:tc>
          <w:tcPr>
            <w:tcW w:type="dxa" w:w="2412"/>
          </w:tcPr>
          <w:p>
            <w:r>
              <w:rPr>
                <w:b/>
              </w:rPr>
              <w:t>Vínculo</w:t>
            </w:r>
          </w:p>
        </w:tc>
      </w:tr>
      <w:tr>
        <w:tc>
          <w:tcPr>
            <w:tcW w:type="dxa" w:w="2412"/>
          </w:tcPr>
          <w:p>
            <w:r>
              <w:t>Vinci Capital Gestora</w:t>
            </w:r>
          </w:p>
        </w:tc>
        <w:tc>
          <w:tcPr>
            <w:tcW w:type="dxa" w:w="2412"/>
          </w:tcPr>
          <w:p>
            <w:r>
              <w:t>CNPJ 11.079.478/0001-75 — Av. Bartolomeu Mitre, 336, Leblon, RJ</w:t>
            </w:r>
          </w:p>
        </w:tc>
        <w:tc>
          <w:tcPr>
            <w:tcW w:type="dxa" w:w="2412"/>
          </w:tcPr>
          <w:p>
            <w:r>
              <w:t>Gestora do Bonifácio e representante de 5 entidades na assembleia</w:t>
            </w:r>
          </w:p>
        </w:tc>
        <w:tc>
          <w:tcPr>
            <w:tcW w:type="dxa" w:w="2412"/>
          </w:tcPr>
          <w:p>
            <w:r>
              <w:t>Aporte R$ 650 MM E-Vino via Ajaccio em mar/2022</w:t>
            </w:r>
          </w:p>
        </w:tc>
      </w:tr>
      <w:tr>
        <w:tc>
          <w:tcPr>
            <w:tcW w:type="dxa" w:w="2412"/>
          </w:tcPr>
          <w:p>
            <w:r>
              <w:t>Gabriel Felzenszwalb</w:t>
            </w:r>
          </w:p>
        </w:tc>
        <w:tc>
          <w:tcPr>
            <w:tcW w:type="dxa" w:w="2412"/>
          </w:tcPr>
          <w:p>
            <w:r>
              <w:t>Diretor Vinci — IP 201.76.181.18</w:t>
            </w:r>
          </w:p>
        </w:tc>
        <w:tc>
          <w:tcPr>
            <w:tcW w:type="dxa" w:w="2412"/>
          </w:tcPr>
          <w:p>
            <w:r>
              <w:t>Signatário Bonifácio + Ajaccio + Anacapri + Brescia + Cetara</w:t>
            </w:r>
          </w:p>
        </w:tc>
        <w:tc>
          <w:tcPr>
            <w:tcW w:type="dxa" w:w="2412"/>
          </w:tcPr>
          <w:p>
            <w:r>
              <w:t>Concentração de assinatura</w:t>
            </w:r>
          </w:p>
        </w:tc>
      </w:tr>
      <w:tr>
        <w:tc>
          <w:tcPr>
            <w:tcW w:type="dxa" w:w="2412"/>
          </w:tcPr>
          <w:p>
            <w:r>
              <w:t>Carlos Eduardo Martins e Silva</w:t>
            </w:r>
          </w:p>
        </w:tc>
        <w:tc>
          <w:tcPr>
            <w:tcW w:type="dxa" w:w="2412"/>
          </w:tcPr>
          <w:p>
            <w:r>
              <w:t>Diretor Vinci — IP 201.76.181.18</w:t>
            </w:r>
          </w:p>
        </w:tc>
        <w:tc>
          <w:tcPr>
            <w:tcW w:type="dxa" w:w="2412"/>
          </w:tcPr>
          <w:p>
            <w:r>
              <w:t>Signatário das mesmas 5 entidades</w:t>
            </w:r>
          </w:p>
        </w:tc>
        <w:tc>
          <w:tcPr>
            <w:tcW w:type="dxa" w:w="2412"/>
          </w:tcPr>
          <w:p>
            <w:r>
              <w:t>MESMO IP — controle factual conjunto</w:t>
            </w:r>
          </w:p>
        </w:tc>
      </w:tr>
      <w:tr>
        <w:tc>
          <w:tcPr>
            <w:tcW w:type="dxa" w:w="2412"/>
          </w:tcPr>
          <w:p>
            <w:r>
              <w:t>Ricardo Fernandes de Sousa Costa</w:t>
            </w:r>
          </w:p>
        </w:tc>
        <w:tc>
          <w:tcPr>
            <w:tcW w:type="dxa" w:w="2412"/>
          </w:tcPr>
          <w:p>
            <w:r>
              <w:t>CPF 605.476.260-53 — Passaporte FO940317 — Madrid/Espanha</w:t>
            </w:r>
          </w:p>
        </w:tc>
        <w:tc>
          <w:tcPr>
            <w:tcW w:type="dxa" w:w="2412"/>
          </w:tcPr>
          <w:p>
            <w:r>
              <w:t>Presidente; subscritor Boletim nº 1 (R$ 5 MM)</w:t>
            </w:r>
          </w:p>
        </w:tc>
        <w:tc>
          <w:tcPr>
            <w:tcW w:type="dxa" w:w="2412"/>
          </w:tcPr>
          <w:p>
            <w:r>
              <w:t>Cotista Ajaccio; R$ 35,17 MM distrato RT 127</w:t>
            </w:r>
          </w:p>
        </w:tc>
      </w:tr>
      <w:tr>
        <w:tc>
          <w:tcPr>
            <w:tcW w:type="dxa" w:w="2412"/>
          </w:tcPr>
          <w:p>
            <w:r>
              <w:t>Marcos Leonel Leal</w:t>
            </w:r>
          </w:p>
        </w:tc>
        <w:tc>
          <w:tcPr>
            <w:tcW w:type="dxa" w:w="2412"/>
          </w:tcPr>
          <w:p>
            <w:r>
              <w:t>CPF 286.177.828-89 — Co-CEO Víssimo</w:t>
            </w:r>
          </w:p>
        </w:tc>
        <w:tc>
          <w:tcPr>
            <w:tcW w:type="dxa" w:w="2412"/>
          </w:tcPr>
          <w:p>
            <w:r>
              <w:t>Secretário</w:t>
            </w:r>
          </w:p>
        </w:tc>
        <w:tc>
          <w:tcPr>
            <w:tcW w:type="dxa" w:w="2412"/>
          </w:tcPr>
          <w:p>
            <w:r>
              <w:t>Co-fundador E-Vino; R$ 8,18 MM distrato RT 127</w:t>
            </w:r>
          </w:p>
        </w:tc>
      </w:tr>
      <w:tr>
        <w:tc>
          <w:tcPr>
            <w:tcW w:type="dxa" w:w="2412"/>
          </w:tcPr>
          <w:p>
            <w:r>
              <w:t>Anacapri Investments L.P.</w:t>
            </w:r>
          </w:p>
        </w:tc>
        <w:tc>
          <w:tcPr>
            <w:tcW w:type="dxa" w:w="2412"/>
          </w:tcPr>
          <w:p>
            <w:r>
              <w:t>Delaware, EUA</w:t>
            </w:r>
          </w:p>
        </w:tc>
        <w:tc>
          <w:tcPr>
            <w:tcW w:type="dxa" w:w="2412"/>
          </w:tcPr>
          <w:p>
            <w:r>
              <w:t>Renunciou preferência</w:t>
            </w:r>
          </w:p>
        </w:tc>
        <w:tc>
          <w:tcPr>
            <w:tcW w:type="dxa" w:w="2412"/>
          </w:tcPr>
          <w:p>
            <w:r>
              <w:t>LLC criada fev/2025 - durante o litígio</w:t>
            </w:r>
          </w:p>
        </w:tc>
      </w:tr>
      <w:tr>
        <w:tc>
          <w:tcPr>
            <w:tcW w:type="dxa" w:w="2412"/>
          </w:tcPr>
          <w:p>
            <w:r>
              <w:t>Brescia Investments L.P.</w:t>
            </w:r>
          </w:p>
        </w:tc>
        <w:tc>
          <w:tcPr>
            <w:tcW w:type="dxa" w:w="2412"/>
          </w:tcPr>
          <w:p>
            <w:r>
              <w:t>Delaware, EUA</w:t>
            </w:r>
          </w:p>
        </w:tc>
        <w:tc>
          <w:tcPr>
            <w:tcW w:type="dxa" w:w="2412"/>
          </w:tcPr>
          <w:p>
            <w:r>
              <w:t>Renunciou preferência</w:t>
            </w:r>
          </w:p>
        </w:tc>
        <w:tc>
          <w:tcPr>
            <w:tcW w:type="dxa" w:w="2412"/>
          </w:tcPr>
          <w:p>
            <w:r>
              <w:t>Idem Anacapri</w:t>
            </w:r>
          </w:p>
        </w:tc>
      </w:tr>
      <w:tr>
        <w:tc>
          <w:tcPr>
            <w:tcW w:type="dxa" w:w="2412"/>
          </w:tcPr>
          <w:p>
            <w:r>
              <w:t>Cetara Investments L.P.</w:t>
            </w:r>
          </w:p>
        </w:tc>
        <w:tc>
          <w:tcPr>
            <w:tcW w:type="dxa" w:w="2412"/>
          </w:tcPr>
          <w:p>
            <w:r>
              <w:t>Delaware, EUA</w:t>
            </w:r>
          </w:p>
        </w:tc>
        <w:tc>
          <w:tcPr>
            <w:tcW w:type="dxa" w:w="2412"/>
          </w:tcPr>
          <w:p>
            <w:r>
              <w:t>Renunciou preferência</w:t>
            </w:r>
          </w:p>
        </w:tc>
        <w:tc>
          <w:tcPr>
            <w:tcW w:type="dxa" w:w="2412"/>
          </w:tcPr>
          <w:p>
            <w:r>
              <w:t>Idem Anacapri</w:t>
            </w:r>
          </w:p>
        </w:tc>
      </w:tr>
    </w:tbl>
    <w:p/>
    <w:p>
      <w:pPr>
        <w:jc w:val="both"/>
      </w:pPr>
      <w:r>
        <w:rPr>
          <w:b/>
          <w:i/>
        </w:rPr>
        <w:t>A representação simultânea, na mesma assembleia, do Bonifácio + Ajaccio + Anacapri + Brescia + Cetara, pelos MESMOS dois diretores da Vinci, com assinaturas eletrônicas no MESMO IP (201.76.181.18), produz registro factual de CONTROLE CONJUNTO DE FATO de cinco entidades formalmente distintas. Achado relevante para análise de partes relacionadas (RPT) e de hipóteses de simulação societária (CC art. 167).</w:t>
      </w:r>
    </w:p>
    <w:p>
      <w:pPr>
        <w:pStyle w:val="Heading1"/>
      </w:pPr>
      <w:r>
        <w:rPr>
          <w:color w:val="1A1A1A"/>
        </w:rPr>
        <w:t>IX. Capital social da E-Vino — quadro atualizado pós-AGE 28/02/2025</w:t>
      </w:r>
    </w:p>
    <w:p>
      <w:pPr>
        <w:jc w:val="both"/>
      </w:pPr>
      <w:r>
        <w:rPr>
          <w:b/>
          <w:i w:val="0"/>
        </w:rPr>
        <w:t>ANTES da AGE (até 27/02/2025):</w:t>
      </w:r>
    </w:p>
    <w:p>
      <w:pPr>
        <w:jc w:val="both"/>
      </w:pPr>
      <w:r>
        <w:rPr>
          <w:b w:val="0"/>
          <w:i w:val="0"/>
        </w:rPr>
        <w:t>• Capital Social: R$ 516.275.087,14</w:t>
      </w:r>
    </w:p>
    <w:p>
      <w:pPr>
        <w:jc w:val="both"/>
      </w:pPr>
      <w:r>
        <w:rPr>
          <w:b w:val="0"/>
          <w:i w:val="0"/>
        </w:rPr>
        <w:t>• Ações ON: 11.935.645</w:t>
      </w:r>
    </w:p>
    <w:p>
      <w:pPr>
        <w:jc w:val="both"/>
      </w:pPr>
      <w:r>
        <w:rPr>
          <w:b w:val="0"/>
          <w:i w:val="0"/>
        </w:rPr>
        <w:t>• Ações PN: 343.632</w:t>
      </w:r>
    </w:p>
    <w:p>
      <w:pPr>
        <w:jc w:val="both"/>
      </w:pPr>
      <w:r>
        <w:rPr>
          <w:b/>
          <w:i w:val="0"/>
        </w:rPr>
        <w:t>APÓS a AGE (a partir de 28/02/2025):</w:t>
      </w:r>
    </w:p>
    <w:p>
      <w:pPr>
        <w:jc w:val="both"/>
      </w:pPr>
      <w:r>
        <w:rPr>
          <w:b w:val="0"/>
          <w:i w:val="0"/>
        </w:rPr>
        <w:t>• Capital Social: R$ 539.275.087,14 (+ R$ 23.000.000,00)</w:t>
      </w:r>
    </w:p>
    <w:p>
      <w:pPr>
        <w:jc w:val="both"/>
      </w:pPr>
      <w:r>
        <w:rPr>
          <w:b w:val="0"/>
          <w:i w:val="0"/>
        </w:rPr>
        <w:t>• Ações ON: 11.935.645 (inalteradas)</w:t>
      </w:r>
    </w:p>
    <w:p>
      <w:pPr>
        <w:jc w:val="both"/>
      </w:pPr>
      <w:r>
        <w:rPr>
          <w:b w:val="0"/>
          <w:i w:val="0"/>
        </w:rPr>
        <w:t>• Ações PN: 519.268 (+ 175.636)</w:t>
      </w:r>
    </w:p>
    <w:p>
      <w:pPr>
        <w:jc w:val="both"/>
      </w:pPr>
      <w:r>
        <w:rPr>
          <w:b w:val="0"/>
          <w:i w:val="0"/>
        </w:rPr>
        <w:t>Composição das novas ações PN:</w:t>
      </w:r>
    </w:p>
    <w:p>
      <w:pPr>
        <w:jc w:val="both"/>
      </w:pPr>
      <w:r>
        <w:rPr>
          <w:b w:val="0"/>
          <w:i w:val="0"/>
        </w:rPr>
        <w:t>• Bonifácio FIP: 137.454 ações (78,26%)</w:t>
      </w:r>
    </w:p>
    <w:p>
      <w:pPr>
        <w:jc w:val="both"/>
      </w:pPr>
      <w:r>
        <w:rPr>
          <w:b w:val="0"/>
          <w:i w:val="0"/>
        </w:rPr>
        <w:t>• Ricardo Costa: 38.182 ações (21,74%)</w:t>
      </w:r>
    </w:p>
    <w:p>
      <w:pPr>
        <w:jc w:val="both"/>
      </w:pPr>
      <w:r>
        <w:rPr>
          <w:b/>
          <w:i w:val="0"/>
        </w:rPr>
        <w:t>OBSERVAÇÃO CRÍTICA PARA A PARTILHA: as ações PN do Bonifácio representam ~1,10% do capital social total. Considerando o PL do Ajaccio em 30/04/2025 (R$ 1.568,9 MM) como proxy do valor de mercado das 11.935.645 ações ON, o valor unitário implícito seria de R$ 131,45/ação — convergente com o preço de emissão de R$ 130,95, e NÃO com o preço de R$ 0,01 registrado na alienação confessa do Requerido ao Ajaccio FIP em 07/06/2022 (DIRPF AC 2022 fls. 815-820). A diferença entre R$ 0,01 e R$ 130,95 é fator de 13.095× — fato que evidencia a magnitude da VALORIZAÇÃO OCORRIDA DURANTE A CONSTÂNCIA do casamento.</w:t>
      </w:r>
    </w:p>
    <w:p>
      <w:pPr>
        <w:pStyle w:val="Heading1"/>
      </w:pPr>
      <w:r>
        <w:rPr>
          <w:color w:val="1A1A1A"/>
        </w:rPr>
        <w:t>X. Diligências adicionais</w:t>
      </w:r>
    </w:p>
    <w:p>
      <w:pPr>
        <w:jc w:val="both"/>
      </w:pPr>
      <w:r>
        <w:rPr>
          <w:b w:val="0"/>
          <w:i w:val="0"/>
        </w:rPr>
        <w:t>1. Carteira trimestral CVM do Bonifácio em 31/08/2025 — confirmar composição pós-salto.</w:t>
      </w:r>
    </w:p>
    <w:p>
      <w:pPr>
        <w:jc w:val="both"/>
      </w:pPr>
      <w:r>
        <w:rPr>
          <w:b w:val="0"/>
          <w:i w:val="0"/>
        </w:rPr>
        <w:t>2. Demais atas de assembleia da E-Vino entre 01/03/2025 e 31/08/2025.</w:t>
      </w:r>
    </w:p>
    <w:p>
      <w:pPr>
        <w:jc w:val="both"/>
      </w:pPr>
      <w:r>
        <w:rPr>
          <w:b w:val="0"/>
          <w:i w:val="0"/>
        </w:rPr>
        <w:t>3. Boletins de subscrição de cotas do próprio Bonifácio FIP desde 11/02/2025 — quem é cotista.</w:t>
      </w:r>
    </w:p>
    <w:p>
      <w:pPr>
        <w:jc w:val="both"/>
      </w:pPr>
      <w:r>
        <w:rPr>
          <w:b w:val="0"/>
          <w:i w:val="0"/>
        </w:rPr>
        <w:t>4. Regulamento consolidado e acordo de cotistas do Bonifácio — certidão CVM.</w:t>
      </w:r>
    </w:p>
    <w:p>
      <w:pPr>
        <w:jc w:val="both"/>
      </w:pPr>
      <w:r>
        <w:rPr>
          <w:b w:val="0"/>
          <w:i w:val="0"/>
        </w:rPr>
        <w:t>5. Movimentação financeira da conta bancária do Bonifácio entre 11/02/2025 e 30/04/2026 — extratos.</w:t>
      </w:r>
    </w:p>
    <w:p>
      <w:pPr>
        <w:jc w:val="both"/>
      </w:pPr>
      <w:r>
        <w:rPr>
          <w:b w:val="0"/>
          <w:i w:val="0"/>
        </w:rPr>
        <w:t>6. Laudo de avaliação econômico-financeira do ativo subjacente com data-base 31/08/2025 e 31/12/2025.</w:t>
      </w:r>
    </w:p>
    <w:p>
      <w:pPr>
        <w:jc w:val="both"/>
      </w:pPr>
      <w:r>
        <w:rPr>
          <w:b w:val="0"/>
          <w:i w:val="0"/>
        </w:rPr>
        <w:t>7. Identidade do administrador fiduciário — verificar se é FRAM/OSLO Capital DTVM.</w:t>
      </w:r>
    </w:p>
    <w:p>
      <w:pPr>
        <w:jc w:val="both"/>
      </w:pPr>
      <w:r>
        <w:rPr>
          <w:b w:val="0"/>
          <w:i w:val="0"/>
        </w:rPr>
        <w:t>8. Origem dos R$ 18 MM aportados na conta da Vinci Capital antes da subscrição de 28/02/2025.</w:t>
      </w:r>
    </w:p>
    <w:p>
      <w:pPr>
        <w:pStyle w:val="Heading1"/>
      </w:pPr>
      <w:r>
        <w:rPr>
          <w:color w:val="1A1A1A"/>
        </w:rPr>
        <w:t>XI. Síntese conclusiva — voto do parecerista</w:t>
      </w:r>
    </w:p>
    <w:p>
      <w:pPr>
        <w:jc w:val="both"/>
      </w:pPr>
      <w:r>
        <w:rPr>
          <w:b/>
          <w:i w:val="0"/>
        </w:rPr>
        <w:t>O Bonifácio FIP (CNPJ 59.402.540/0001-44), constituído em 11/02/2025 no curso da litispendência da ação 1006744-58.2023.8.26.0011, realizou em 28/02/2025 — apenas 17 dias após sua constituição — a subscrição de R$ 18.000.000,00 em 137.454 ações preferenciais da E-Vino S.A. (CNPJ 17.392.519/0001-65), gerida pela Vinci Capital Gestora de Recursos Ltda. e representada pelos diretores Gabriel Felzenszwalb e Carlos Eduardo Martins e Silva.</w:t>
      </w:r>
    </w:p>
    <w:p>
      <w:pPr>
        <w:jc w:val="both"/>
      </w:pPr>
      <w:r>
        <w:rPr>
          <w:b/>
          <w:i w:val="0"/>
        </w:rPr>
        <w:t>A reconciliação aritmética entre o Boletim de Subscrição nº 2 (R$ 18,0 MM) e o primeiro PL informado ao FNET/CVM em 30/04/2025 (R$ 18.135.551,50) FECHA INTEGRALMENTE, com a diferença de R$ 135.551,50 imputável a receita financeira do período (taxa anualizada de 4,43%, compatível com CDI parcial).</w:t>
      </w:r>
    </w:p>
    <w:p>
      <w:pPr>
        <w:jc w:val="both"/>
      </w:pPr>
      <w:r>
        <w:rPr>
          <w:b w:val="0"/>
          <w:i w:val="0"/>
        </w:rPr>
        <w:t>Permanecem como pontos de diligência: (i) origem aritmética do salto de R$ 47,5 MM de PL no Q2 2025; (ii) composição da carteira pós-Q2 2025; (iii) identificação dos cotistas do próprio Bonifácio; (iv) identidade do administrador-fiduciário. Estes pontos são dependentes de exibição documental — sustentável sob CPC arts. 396-404 e Res. CVM nº 175/2022 art. 39, com cominação CPC art. 400, conforme integralmente desenvolvido nas teses v1 a v6 (Docs. 16 a 21).</w:t>
      </w:r>
    </w:p>
    <w:p>
      <w:pPr>
        <w:pStyle w:val="Heading1"/>
      </w:pPr>
      <w:r>
        <w:rPr>
          <w:color w:val="1A1A1A"/>
        </w:rPr>
        <w:t>XII. Conformidade metodológica</w:t>
      </w:r>
    </w:p>
    <w:p>
      <w:pPr>
        <w:jc w:val="both"/>
      </w:pPr>
      <w:r>
        <w:rPr>
          <w:b w:val="0"/>
          <w:i w:val="0"/>
        </w:rPr>
        <w:t>Este relatório é instrumento técnico-contábil-financeiro de apoio ao raciocínio jurídico da equipe; não é perícia oficial. Toda afirmação fática está ancorada em: (i) Ata da AGE E-Vino 28/02/2025 com Boletins anexos, JUCESP nº 0.655.796/25-3, DocuSign 9DD11009; (ii) Consulta CNPJ Receita Federal do Bonifácio; (iii) Consulta de Relacionamentos Patrimoniais 12/08/2025; (iv) Planilhas FNET/CVM (4 datas-base); (v) Documentos anteriores da série (em especial Doc. 22).</w:t>
      </w:r>
    </w:p>
    <w:p>
      <w:pPr>
        <w:jc w:val="both"/>
      </w:pPr>
      <w:r>
        <w:rPr>
          <w:b w:val="0"/>
          <w:i/>
        </w:rPr>
        <w:t>As inferências sobre migração patrimonial entre Ajaccio e Bonifácio no Q2 2025 são HIPÓTESES CONTÁBEIS A VERIFICAR, dependentes de exibição documental. Não constituem, neste estágio, afirmação de fato ou imputação de conduta.</w:t>
      </w:r>
    </w:p>
    <w:p>
      <w:pPr>
        <w:jc w:val="both"/>
      </w:pPr>
      <w:r>
        <w:rPr>
          <w:b w:val="0"/>
          <w:i w:val="0"/>
        </w:rPr>
        <w:t>Conversão em laudo subscrito por contador habilitado (CRC) e em peça subscrita por OAB antes de qualquer uso processual. Pessoas físicas anonimizadas em qualquer versão de circulação externa.</w:t>
      </w:r>
    </w:p>
    <w:p>
      <w:pPr>
        <w:jc w:val="center"/>
      </w:pPr>
      <w:r>
        <w:rPr>
          <w:i/>
          <w:sz w:val="17"/>
        </w:rPr>
        <w:t>Série DOSSIÊS E NOTAS TÉCNICAS — documento 23 · 14/06/2026 · INSTRUMENTO INTERNO · CONFIDENCIAL</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