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DOSSIÊ TÉCNICO GRAFO-RELACIONAL · AGEs DA E-VINO 2017-2025</w:t>
      </w:r>
    </w:p>
    <w:p>
      <w:pPr>
        <w:jc w:val="center"/>
      </w:pPr>
      <w:r>
        <w:rPr>
          <w:i/>
          <w:sz w:val="19"/>
        </w:rPr>
        <w:t>21 dias, R$ 65 milhões, três operações e a ausência absoluta de Ari Gorenstein</w:t>
        <w:br/>
        <w:t>Autos 1006744-58.2023.8.26.0011 · 1ª VF Pinheiros/SP · Emissão 14/06/2026 · Versão 1.0</w:t>
        <w:br/>
        <w:t>CONFIDENCIAL — uso restrito da equipe</w:t>
      </w:r>
    </w:p>
    <w:p>
      <w:pPr>
        <w:pStyle w:val="Heading1"/>
      </w:pPr>
      <w:r>
        <w:rPr>
          <w:color w:val="1A1A1A"/>
        </w:rPr>
        <w:t>I. Síntese executiva</w:t>
      </w:r>
    </w:p>
    <w:p>
      <w:pPr>
        <w:jc w:val="both"/>
      </w:pPr>
      <w:r>
        <w:rPr>
          <w:b/>
          <w:i w:val="0"/>
        </w:rPr>
        <w:t>Entre 14/02/2025 e 06/03/2025 — janela de 21 dias situada no curso da litispendência da ação 1006744-58.2023.8.26.0011 —, a E-Vino S.A. executou três operações financeiras simultâneas que movimentaram R$ 64.999.739,49: (i) aumento de capital de R$ 17.999.739,49 via CAPITALIZAÇÃO DE 15.777 DEBÊNTURES INCENTIVADAS subscritas por Ricardo Costa até 20/06/2024 (AGE 14/02/2025); (ii) aumento de R$ 23.000.000,00 com subscrição de 78,26% pelo Bonifácio FIP (AGE 28/02/2025); (iii) APROVAÇÃO DA 1ª EMISSÃO DE NOTAS COMERCIAIS ESCRITURAIS no valor de R$ 24.000.000,00 com garantia real e fidejussória (RCA 06/03/2025).</w:t>
      </w:r>
    </w:p>
    <w:p>
      <w:pPr>
        <w:jc w:val="both"/>
      </w:pPr>
      <w:r>
        <w:rPr>
          <w:b/>
          <w:i w:val="0"/>
        </w:rPr>
        <w:t>ACHADO-PIVÔ: Ari Gorenstein NÃO consta como conselheiro, diretor, subscritor, garantidor ou credor de qualquer das operações de 2025 — embora o ecossistema operacional E-Vino/Víssimo/Bonifácio/Ajaccio em que ele detém participação econômica via cotas custodiadas continue plenamente ativo.</w:t>
      </w:r>
    </w:p>
    <w:p>
      <w:pPr>
        <w:pStyle w:val="Heading1"/>
      </w:pPr>
      <w:r>
        <w:rPr>
          <w:color w:val="1A1A1A"/>
        </w:rPr>
        <w:t>II. Inventário documental — sete fontes primárias verificadas</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rPr>
              <w:t>#</w:t>
            </w:r>
          </w:p>
        </w:tc>
        <w:tc>
          <w:tcPr>
            <w:tcW w:type="dxa" w:w="1930"/>
          </w:tcPr>
          <w:p>
            <w:r>
              <w:rPr>
                <w:b/>
              </w:rPr>
              <w:t>Documento</w:t>
            </w:r>
          </w:p>
        </w:tc>
        <w:tc>
          <w:tcPr>
            <w:tcW w:type="dxa" w:w="1930"/>
          </w:tcPr>
          <w:p>
            <w:r>
              <w:rPr>
                <w:b/>
              </w:rPr>
              <w:t>Data do ato</w:t>
            </w:r>
          </w:p>
        </w:tc>
        <w:tc>
          <w:tcPr>
            <w:tcW w:type="dxa" w:w="1930"/>
          </w:tcPr>
          <w:p>
            <w:r>
              <w:rPr>
                <w:b/>
              </w:rPr>
              <w:t>Protocolo JUCESP</w:t>
            </w:r>
          </w:p>
        </w:tc>
        <w:tc>
          <w:tcPr>
            <w:tcW w:type="dxa" w:w="1930"/>
          </w:tcPr>
          <w:p>
            <w:r>
              <w:rPr>
                <w:b/>
              </w:rPr>
              <w:t>DocuSign</w:t>
            </w:r>
          </w:p>
        </w:tc>
      </w:tr>
      <w:tr>
        <w:tc>
          <w:tcPr>
            <w:tcW w:type="dxa" w:w="1930"/>
          </w:tcPr>
          <w:p>
            <w:r>
              <w:t>D1</w:t>
            </w:r>
          </w:p>
        </w:tc>
        <w:tc>
          <w:tcPr>
            <w:tcW w:type="dxa" w:w="1930"/>
          </w:tcPr>
          <w:p>
            <w:r>
              <w:t>AGE E-Vino · Subscrição Ricardo Costa via capitalização de debêntures</w:t>
            </w:r>
          </w:p>
        </w:tc>
        <w:tc>
          <w:tcPr>
            <w:tcW w:type="dxa" w:w="1930"/>
          </w:tcPr>
          <w:p>
            <w:r>
              <w:t>14/02/2025</w:t>
            </w:r>
          </w:p>
        </w:tc>
        <w:tc>
          <w:tcPr>
            <w:tcW w:type="dxa" w:w="1930"/>
          </w:tcPr>
          <w:p>
            <w:r>
              <w:t>0.655.797/25-7 (interno 034585546-9)</w:t>
            </w:r>
          </w:p>
        </w:tc>
        <w:tc>
          <w:tcPr>
            <w:tcW w:type="dxa" w:w="1930"/>
          </w:tcPr>
          <w:p>
            <w:r>
              <w:t>DDO444EA-DCDB-49DB-931A-5C2998DE27D7</w:t>
            </w:r>
          </w:p>
        </w:tc>
      </w:tr>
      <w:tr>
        <w:tc>
          <w:tcPr>
            <w:tcW w:type="dxa" w:w="1930"/>
          </w:tcPr>
          <w:p>
            <w:r>
              <w:t>D2</w:t>
            </w:r>
          </w:p>
        </w:tc>
        <w:tc>
          <w:tcPr>
            <w:tcW w:type="dxa" w:w="1930"/>
          </w:tcPr>
          <w:p>
            <w:r>
              <w:t>AGE E-Vino · Subscrição Bonifácio (R$ 18 MM) + Ricardo (R$ 5 MM)</w:t>
            </w:r>
          </w:p>
        </w:tc>
        <w:tc>
          <w:tcPr>
            <w:tcW w:type="dxa" w:w="1930"/>
          </w:tcPr>
          <w:p>
            <w:r>
              <w:t>28/02/2025</w:t>
            </w:r>
          </w:p>
        </w:tc>
        <w:tc>
          <w:tcPr>
            <w:tcW w:type="dxa" w:w="1930"/>
          </w:tcPr>
          <w:p>
            <w:r>
              <w:t>0.655.796/25-3 (interno 034585574-4)</w:t>
            </w:r>
          </w:p>
        </w:tc>
        <w:tc>
          <w:tcPr>
            <w:tcW w:type="dxa" w:w="1930"/>
          </w:tcPr>
          <w:p>
            <w:r>
              <w:t>9DD11009-4D65-4653-A1BC-E17CC3E96E39</w:t>
            </w:r>
          </w:p>
        </w:tc>
      </w:tr>
      <w:tr>
        <w:tc>
          <w:tcPr>
            <w:tcW w:type="dxa" w:w="1930"/>
          </w:tcPr>
          <w:p>
            <w:r>
              <w:t>D3</w:t>
            </w:r>
          </w:p>
        </w:tc>
        <w:tc>
          <w:tcPr>
            <w:tcW w:type="dxa" w:w="1930"/>
          </w:tcPr>
          <w:p>
            <w:r>
              <w:t>RCA E-Vino · Aprovação 1ª emissão Notas Comerciais Escriturais</w:t>
            </w:r>
          </w:p>
        </w:tc>
        <w:tc>
          <w:tcPr>
            <w:tcW w:type="dxa" w:w="1930"/>
          </w:tcPr>
          <w:p>
            <w:r>
              <w:t>06/03/2025</w:t>
            </w:r>
          </w:p>
        </w:tc>
        <w:tc>
          <w:tcPr>
            <w:tcW w:type="dxa" w:w="1930"/>
          </w:tcPr>
          <w:p>
            <w:r>
              <w:t>0.655.724/25-4</w:t>
            </w:r>
          </w:p>
        </w:tc>
        <w:tc>
          <w:tcPr>
            <w:tcW w:type="dxa" w:w="1930"/>
          </w:tcPr>
          <w:p>
            <w:r>
              <w:t>f7d2d1f2-6d78-4e78-be76-af8f0b489720</w:t>
            </w:r>
          </w:p>
        </w:tc>
      </w:tr>
      <w:tr>
        <w:tc>
          <w:tcPr>
            <w:tcW w:type="dxa" w:w="1930"/>
          </w:tcPr>
          <w:p>
            <w:r>
              <w:t>D4</w:t>
            </w:r>
          </w:p>
        </w:tc>
        <w:tc>
          <w:tcPr>
            <w:tcW w:type="dxa" w:w="1930"/>
          </w:tcPr>
          <w:p>
            <w:r>
              <w:t>AGE/Ata Vórtx DTVM · Aprovação contas 2023 (LL R$ 36,1 MM)</w:t>
            </w:r>
          </w:p>
        </w:tc>
        <w:tc>
          <w:tcPr>
            <w:tcW w:type="dxa" w:w="1930"/>
          </w:tcPr>
          <w:p>
            <w:r>
              <w:t>04/04/2024</w:t>
            </w:r>
          </w:p>
        </w:tc>
        <w:tc>
          <w:tcPr>
            <w:tcW w:type="dxa" w:w="1930"/>
          </w:tcPr>
          <w:p>
            <w:r>
              <w:t>149.711/24-4</w:t>
            </w:r>
          </w:p>
        </w:tc>
        <w:tc>
          <w:tcPr>
            <w:tcW w:type="dxa" w:w="1930"/>
          </w:tcPr>
          <w:p>
            <w:r>
              <w:t>2A1F3D78-51E0-4972-BD58-554D7D15E8EU</w:t>
            </w:r>
          </w:p>
        </w:tc>
      </w:tr>
      <w:tr>
        <w:tc>
          <w:tcPr>
            <w:tcW w:type="dxa" w:w="1930"/>
          </w:tcPr>
          <w:p>
            <w:r>
              <w:t>D5</w:t>
            </w:r>
          </w:p>
        </w:tc>
        <w:tc>
          <w:tcPr>
            <w:tcW w:type="dxa" w:w="1930"/>
          </w:tcPr>
          <w:p>
            <w:r>
              <w:t>Ata Vórtx DTVM · Renúncias e nomeação de nova diretoria</w:t>
            </w:r>
          </w:p>
        </w:tc>
        <w:tc>
          <w:tcPr>
            <w:tcW w:type="dxa" w:w="1930"/>
          </w:tcPr>
          <w:p>
            <w:r>
              <w:t>26/08/2024</w:t>
            </w:r>
          </w:p>
        </w:tc>
        <w:tc>
          <w:tcPr>
            <w:tcW w:type="dxa" w:w="1930"/>
          </w:tcPr>
          <w:p>
            <w:r>
              <w:t>0.241.977/25-3</w:t>
            </w:r>
          </w:p>
        </w:tc>
        <w:tc>
          <w:tcPr>
            <w:tcW w:type="dxa" w:w="1930"/>
          </w:tcPr>
          <w:p>
            <w:r>
              <w:t>(envelope referenciado)</w:t>
            </w:r>
          </w:p>
        </w:tc>
      </w:tr>
      <w:tr>
        <w:tc>
          <w:tcPr>
            <w:tcW w:type="dxa" w:w="1930"/>
          </w:tcPr>
          <w:p>
            <w:r>
              <w:t>D6</w:t>
            </w:r>
          </w:p>
        </w:tc>
        <w:tc>
          <w:tcPr>
            <w:tcW w:type="dxa" w:w="1930"/>
          </w:tcPr>
          <w:p>
            <w:r>
              <w:t>Consulta CNPJ Bonifácio FIP (Receita Federal)</w:t>
            </w:r>
          </w:p>
        </w:tc>
        <w:tc>
          <w:tcPr>
            <w:tcW w:type="dxa" w:w="1930"/>
          </w:tcPr>
          <w:p>
            <w:r>
              <w:t>constituição 11/02/2025</w:t>
            </w:r>
          </w:p>
        </w:tc>
        <w:tc>
          <w:tcPr>
            <w:tcW w:type="dxa" w:w="1930"/>
          </w:tcPr>
          <w:p>
            <w:r>
              <w:t>—</w:t>
            </w:r>
          </w:p>
        </w:tc>
        <w:tc>
          <w:tcPr>
            <w:tcW w:type="dxa" w:w="1930"/>
          </w:tcPr>
          <w:p>
            <w:r>
              <w:t>—</w:t>
            </w:r>
          </w:p>
        </w:tc>
      </w:tr>
      <w:tr>
        <w:tc>
          <w:tcPr>
            <w:tcW w:type="dxa" w:w="1930"/>
          </w:tcPr>
          <w:p>
            <w:r>
              <w:t>D7</w:t>
            </w:r>
          </w:p>
        </w:tc>
        <w:tc>
          <w:tcPr>
            <w:tcW w:type="dxa" w:w="1930"/>
          </w:tcPr>
          <w:p>
            <w:r>
              <w:t>JUCESP histórico E-Vino — atos societários 2017-2019</w:t>
            </w:r>
          </w:p>
        </w:tc>
        <w:tc>
          <w:tcPr>
            <w:tcW w:type="dxa" w:w="1930"/>
          </w:tcPr>
          <w:p>
            <w:r>
              <w:t>18/12/2017 · 17/08/2018 · 19/12/2018 · 18/01/2019</w:t>
            </w:r>
          </w:p>
        </w:tc>
        <w:tc>
          <w:tcPr>
            <w:tcW w:type="dxa" w:w="1930"/>
          </w:tcPr>
          <w:p>
            <w:r>
              <w:t>protocolos da época</w:t>
            </w:r>
          </w:p>
        </w:tc>
        <w:tc>
          <w:tcPr>
            <w:tcW w:type="dxa" w:w="1930"/>
          </w:tcPr>
          <w:p>
            <w:r>
              <w:t>(scan)</w:t>
            </w:r>
          </w:p>
        </w:tc>
      </w:tr>
    </w:tbl>
    <w:p/>
    <w:p>
      <w:pPr>
        <w:pStyle w:val="Heading1"/>
      </w:pPr>
      <w:r>
        <w:rPr>
          <w:color w:val="1A1A1A"/>
        </w:rPr>
        <w:t>III. Cronologia consolidada — janela de 21 dias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Data</w:t>
            </w:r>
          </w:p>
        </w:tc>
        <w:tc>
          <w:tcPr>
            <w:tcW w:type="dxa" w:w="3216"/>
          </w:tcPr>
          <w:p>
            <w:r>
              <w:rPr>
                <w:b/>
              </w:rPr>
              <w:t>Evento</w:t>
            </w:r>
          </w:p>
        </w:tc>
        <w:tc>
          <w:tcPr>
            <w:tcW w:type="dxa" w:w="3216"/>
          </w:tcPr>
          <w:p>
            <w:r>
              <w:rPr>
                <w:b/>
              </w:rPr>
              <w:t>Magnitude</w:t>
            </w:r>
          </w:p>
        </w:tc>
      </w:tr>
      <w:tr>
        <w:tc>
          <w:tcPr>
            <w:tcW w:type="dxa" w:w="3216"/>
          </w:tcPr>
          <w:p>
            <w:r>
              <w:t>até 20/06/2024</w:t>
            </w:r>
          </w:p>
        </w:tc>
        <w:tc>
          <w:tcPr>
            <w:tcW w:type="dxa" w:w="3216"/>
          </w:tcPr>
          <w:p>
            <w:r>
              <w:t>Ricardo Costa subscreve 15.777 debêntures incentivadas da E-Vino (colocação privada)</w:t>
            </w:r>
          </w:p>
        </w:tc>
        <w:tc>
          <w:tcPr>
            <w:tcW w:type="dxa" w:w="3216"/>
          </w:tcPr>
          <w:p>
            <w:r>
              <w:t>R$ 17.999.739,49</w:t>
            </w:r>
          </w:p>
        </w:tc>
      </w:tr>
      <w:tr>
        <w:tc>
          <w:tcPr>
            <w:tcW w:type="dxa" w:w="3216"/>
          </w:tcPr>
          <w:p>
            <w:r>
              <w:t>11/02/2025</w:t>
            </w:r>
          </w:p>
        </w:tc>
        <w:tc>
          <w:tcPr>
            <w:tcW w:type="dxa" w:w="3216"/>
          </w:tcPr>
          <w:p>
            <w:r>
              <w:t>Constituição do Bonifácio FIP (CNPJ 59.402.540/0001-44) — mesmo endereço da FRAM/OSLO</w:t>
            </w:r>
          </w:p>
        </w:tc>
        <w:tc>
          <w:tcPr>
            <w:tcW w:type="dxa" w:w="3216"/>
          </w:tcPr>
          <w:p>
            <w:r>
              <w:t>R$ 0,00</w:t>
            </w:r>
          </w:p>
        </w:tc>
      </w:tr>
      <w:tr>
        <w:tc>
          <w:tcPr>
            <w:tcW w:type="dxa" w:w="3216"/>
          </w:tcPr>
          <w:p>
            <w:r>
              <w:t>14/02/2025 11:00</w:t>
            </w:r>
          </w:p>
        </w:tc>
        <w:tc>
          <w:tcPr>
            <w:tcW w:type="dxa" w:w="3216"/>
          </w:tcPr>
          <w:p>
            <w:r>
              <w:t>AGE E-Vino — capital R$ 498.275.347,65 → R$ 516.275.087,14; emissão 137.452 PN @ R$ 130,95; subscrição integral por Ricardo Costa via CAPITALIZAÇÃO DAS 15.777 DEBÊNTURES INCENTIVADAS</w:t>
            </w:r>
          </w:p>
        </w:tc>
        <w:tc>
          <w:tcPr>
            <w:tcW w:type="dxa" w:w="3216"/>
          </w:tcPr>
          <w:p>
            <w:r>
              <w:t>R$ 17.999.739,49</w:t>
            </w:r>
          </w:p>
        </w:tc>
      </w:tr>
      <w:tr>
        <w:tc>
          <w:tcPr>
            <w:tcW w:type="dxa" w:w="3216"/>
          </w:tcPr>
          <w:p>
            <w:r>
              <w:t>28/02/2025 11:00</w:t>
            </w:r>
          </w:p>
        </w:tc>
        <w:tc>
          <w:tcPr>
            <w:tcW w:type="dxa" w:w="3216"/>
          </w:tcPr>
          <w:p>
            <w:r>
              <w:t>AGE E-Vino — capital R$ 516.275.087,14 → R$ 539.275.087,14; emissão 175.636 PN @ R$ 130,95; subscrição por Bonifácio (R$ 18 MM) + Ricardo Costa (R$ 5 MM)</w:t>
            </w:r>
          </w:p>
        </w:tc>
        <w:tc>
          <w:tcPr>
            <w:tcW w:type="dxa" w:w="3216"/>
          </w:tcPr>
          <w:p>
            <w:r>
              <w:t>R$ 23.000.000,00</w:t>
            </w:r>
          </w:p>
        </w:tc>
      </w:tr>
      <w:tr>
        <w:tc>
          <w:tcPr>
            <w:tcW w:type="dxa" w:w="3216"/>
          </w:tcPr>
          <w:p>
            <w:r>
              <w:t>06/03/2025 09:00</w:t>
            </w:r>
          </w:p>
        </w:tc>
        <w:tc>
          <w:tcPr>
            <w:tcW w:type="dxa" w:w="3216"/>
          </w:tcPr>
          <w:p>
            <w:r>
              <w:t>RCA E-Vino — aprovação da 1ª emissão de notas comerciais escriturais; 24.000 notas @ R$ 1.000,00; DI + 4,50% a.a.; prazo até 1.100 dias; garantia real + fidejussória</w:t>
            </w:r>
          </w:p>
        </w:tc>
        <w:tc>
          <w:tcPr>
            <w:tcW w:type="dxa" w:w="3216"/>
          </w:tcPr>
          <w:p>
            <w:r>
              <w:t>R$ 24.000.000,00</w:t>
            </w:r>
          </w:p>
        </w:tc>
      </w:tr>
      <w:tr>
        <w:tc>
          <w:tcPr>
            <w:tcW w:type="dxa" w:w="3216"/>
          </w:tcPr>
          <w:p>
            <w:r>
              <w:t>TOTAL 21 dias</w:t>
            </w:r>
          </w:p>
        </w:tc>
        <w:tc>
          <w:tcPr>
            <w:tcW w:type="dxa" w:w="3216"/>
          </w:tcPr>
          <w:p>
            <w:r/>
          </w:p>
        </w:tc>
        <w:tc>
          <w:tcPr>
            <w:tcW w:type="dxa" w:w="3216"/>
          </w:tcPr>
          <w:p>
            <w:r>
              <w:t>R$ 64.999.739,49</w:t>
            </w:r>
          </w:p>
        </w:tc>
      </w:tr>
    </w:tbl>
    <w:p/>
    <w:p>
      <w:pPr>
        <w:pStyle w:val="Heading1"/>
      </w:pPr>
      <w:r>
        <w:rPr>
          <w:color w:val="1A1A1A"/>
        </w:rPr>
        <w:t>IV. Mapa de atores</w:t>
      </w:r>
    </w:p>
    <w:p>
      <w:pPr>
        <w:pStyle w:val="Heading2"/>
      </w:pPr>
      <w:r>
        <w:rPr>
          <w:color w:val="7A0C0C"/>
        </w:rPr>
        <w:t>IV.1 Pessoas físicas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t>Nome</w:t>
            </w:r>
          </w:p>
        </w:tc>
        <w:tc>
          <w:tcPr>
            <w:tcW w:type="dxa" w:w="2412"/>
          </w:tcPr>
          <w:p>
            <w:r>
              <w:rPr>
                <w:b/>
              </w:rPr>
              <w:t>CPF</w:t>
            </w:r>
          </w:p>
        </w:tc>
        <w:tc>
          <w:tcPr>
            <w:tcW w:type="dxa" w:w="2412"/>
          </w:tcPr>
          <w:p>
            <w:r>
              <w:rPr>
                <w:b/>
              </w:rPr>
              <w:t>Função</w:t>
            </w:r>
          </w:p>
        </w:tc>
        <w:tc>
          <w:tcPr>
            <w:tcW w:type="dxa" w:w="2412"/>
          </w:tcPr>
          <w:p>
            <w:r>
              <w:rPr>
                <w:b/>
              </w:rPr>
              <w:t>Papel</w:t>
            </w:r>
          </w:p>
        </w:tc>
      </w:tr>
      <w:tr>
        <w:tc>
          <w:tcPr>
            <w:tcW w:type="dxa" w:w="2412"/>
          </w:tcPr>
          <w:p>
            <w:r>
              <w:t>Ricardo Fernandes de Sousa Costa</w:t>
            </w:r>
          </w:p>
        </w:tc>
        <w:tc>
          <w:tcPr>
            <w:tcW w:type="dxa" w:w="2412"/>
          </w:tcPr>
          <w:p>
            <w:r>
              <w:t>605.476.260-53 (Passaporte FO940317)</w:t>
            </w:r>
          </w:p>
        </w:tc>
        <w:tc>
          <w:tcPr>
            <w:tcW w:type="dxa" w:w="2412"/>
          </w:tcPr>
          <w:p>
            <w:r>
              <w:t>Presidente do Conselho; subscritor; cotista do Ajaccio; residente em Madrid/Espanha</w:t>
            </w:r>
          </w:p>
        </w:tc>
        <w:tc>
          <w:tcPr>
            <w:tcW w:type="dxa" w:w="2412"/>
          </w:tcPr>
          <w:p>
            <w:r>
              <w:t>Subscritor das debêntures até 20/06/2024 + Boletim nº 1 de 28/02/2025 (R$ 5 MM) + Presidente RCA 06/03/2025</w:t>
            </w:r>
          </w:p>
        </w:tc>
      </w:tr>
      <w:tr>
        <w:tc>
          <w:tcPr>
            <w:tcW w:type="dxa" w:w="2412"/>
          </w:tcPr>
          <w:p>
            <w:r>
              <w:t>Marcos Leonel Leal</w:t>
            </w:r>
          </w:p>
        </w:tc>
        <w:tc>
          <w:tcPr>
            <w:tcW w:type="dxa" w:w="2412"/>
          </w:tcPr>
          <w:p>
            <w:r>
              <w:t>286.177.828-89</w:t>
            </w:r>
          </w:p>
        </w:tc>
        <w:tc>
          <w:tcPr>
            <w:tcW w:type="dxa" w:w="2412"/>
          </w:tcPr>
          <w:p>
            <w:r>
              <w:t>Secretário; Co-CEO Víssimo Group</w:t>
            </w:r>
          </w:p>
        </w:tc>
        <w:tc>
          <w:tcPr>
            <w:tcW w:type="dxa" w:w="2412"/>
          </w:tcPr>
          <w:p>
            <w:r>
              <w:t>Secretário das três AGEs/RCA; IP de assinatura 187.43.144.183 (São Paulo)</w:t>
            </w:r>
          </w:p>
        </w:tc>
      </w:tr>
      <w:tr>
        <w:tc>
          <w:tcPr>
            <w:tcW w:type="dxa" w:w="2412"/>
          </w:tcPr>
          <w:p>
            <w:r>
              <w:t>Thiago Moreira Salles Costa</w:t>
            </w:r>
          </w:p>
        </w:tc>
        <w:tc>
          <w:tcPr>
            <w:tcW w:type="dxa" w:w="2412"/>
          </w:tcPr>
          <w:p>
            <w:r>
              <w:t>—</w:t>
            </w:r>
          </w:p>
        </w:tc>
        <w:tc>
          <w:tcPr>
            <w:tcW w:type="dxa" w:w="2412"/>
          </w:tcPr>
          <w:p>
            <w:r>
              <w:t>Conselheiro</w:t>
            </w:r>
          </w:p>
        </w:tc>
        <w:tc>
          <w:tcPr>
            <w:tcW w:type="dxa" w:w="2412"/>
          </w:tcPr>
          <w:p>
            <w:r>
              <w:t>Conselheiro RCA 06/03/2025; e-mail @vissimo.com.br</w:t>
            </w:r>
          </w:p>
        </w:tc>
      </w:tr>
      <w:tr>
        <w:tc>
          <w:tcPr>
            <w:tcW w:type="dxa" w:w="2412"/>
          </w:tcPr>
          <w:p>
            <w:r>
              <w:t>Fernando Campora</w:t>
            </w:r>
          </w:p>
        </w:tc>
        <w:tc>
          <w:tcPr>
            <w:tcW w:type="dxa" w:w="2412"/>
          </w:tcPr>
          <w:p>
            <w:r>
              <w:t>—</w:t>
            </w:r>
          </w:p>
        </w:tc>
        <w:tc>
          <w:tcPr>
            <w:tcW w:type="dxa" w:w="2412"/>
          </w:tcPr>
          <w:p>
            <w:r>
              <w:t>Conselheiro</w:t>
            </w:r>
          </w:p>
        </w:tc>
        <w:tc>
          <w:tcPr>
            <w:tcW w:type="dxa" w:w="2412"/>
          </w:tcPr>
          <w:p>
            <w:r>
              <w:t>Conselheiro RCA 06/03/2025</w:t>
            </w:r>
          </w:p>
        </w:tc>
      </w:tr>
      <w:tr>
        <w:tc>
          <w:tcPr>
            <w:tcW w:type="dxa" w:w="2412"/>
          </w:tcPr>
          <w:p>
            <w:r>
              <w:t>Gabriel Felzenszwalb</w:t>
            </w:r>
          </w:p>
        </w:tc>
        <w:tc>
          <w:tcPr>
            <w:tcW w:type="dxa" w:w="2412"/>
          </w:tcPr>
          <w:p>
            <w:r>
              <w:t>—</w:t>
            </w:r>
          </w:p>
        </w:tc>
        <w:tc>
          <w:tcPr>
            <w:tcW w:type="dxa" w:w="2412"/>
          </w:tcPr>
          <w:p>
            <w:r>
              <w:t>Diretor da Vinci Capital Gestora</w:t>
            </w:r>
          </w:p>
        </w:tc>
        <w:tc>
          <w:tcPr>
            <w:tcW w:type="dxa" w:w="2412"/>
          </w:tcPr>
          <w:p>
            <w:r>
              <w:t>Conselheiro RCA 06/03/2025; signatário da Vinci representando Ajaccio + Anacapri + Brescia + Cetara + Bonifácio; IP 201.76.181.18</w:t>
            </w:r>
          </w:p>
        </w:tc>
      </w:tr>
      <w:tr>
        <w:tc>
          <w:tcPr>
            <w:tcW w:type="dxa" w:w="2412"/>
          </w:tcPr>
          <w:p>
            <w:r>
              <w:t>Carlos Eduardo Martins e Silva</w:t>
            </w:r>
          </w:p>
        </w:tc>
        <w:tc>
          <w:tcPr>
            <w:tcW w:type="dxa" w:w="2412"/>
          </w:tcPr>
          <w:p>
            <w:r>
              <w:t>—</w:t>
            </w:r>
          </w:p>
        </w:tc>
        <w:tc>
          <w:tcPr>
            <w:tcW w:type="dxa" w:w="2412"/>
          </w:tcPr>
          <w:p>
            <w:r>
              <w:t>Diretor da Vinci Capital Gestora</w:t>
            </w:r>
          </w:p>
        </w:tc>
        <w:tc>
          <w:tcPr>
            <w:tcW w:type="dxa" w:w="2412"/>
          </w:tcPr>
          <w:p>
            <w:r>
              <w:t>Signatário das mesmas 5 entidades; MESMO IP 201.76.181.18 do Felzenszwalb</w:t>
            </w:r>
          </w:p>
        </w:tc>
      </w:tr>
      <w:tr>
        <w:tc>
          <w:tcPr>
            <w:tcW w:type="dxa" w:w="2412"/>
          </w:tcPr>
          <w:p>
            <w:r>
              <w:t>Ivel Cardoso Bittencourt de Castro</w:t>
            </w:r>
          </w:p>
        </w:tc>
        <w:tc>
          <w:tcPr>
            <w:tcW w:type="dxa" w:w="2412"/>
          </w:tcPr>
          <w:p>
            <w:r>
              <w:t>—</w:t>
            </w:r>
          </w:p>
        </w:tc>
        <w:tc>
          <w:tcPr>
            <w:tcW w:type="dxa" w:w="2412"/>
          </w:tcPr>
          <w:p>
            <w:r>
              <w:t>Conselheiro; Grupo JCR</w:t>
            </w:r>
          </w:p>
        </w:tc>
        <w:tc>
          <w:tcPr>
            <w:tcW w:type="dxa" w:w="2412"/>
          </w:tcPr>
          <w:p>
            <w:r>
              <w:t>Conselheiro RCA 06/03/2025; e-mail @grupojcr.com</w:t>
            </w:r>
          </w:p>
        </w:tc>
      </w:tr>
      <w:tr>
        <w:tc>
          <w:tcPr>
            <w:tcW w:type="dxa" w:w="2412"/>
          </w:tcPr>
          <w:p>
            <w:r>
              <w:t>Antonio Carlos Castro Louro</w:t>
            </w:r>
          </w:p>
        </w:tc>
        <w:tc>
          <w:tcPr>
            <w:tcW w:type="dxa" w:w="2412"/>
          </w:tcPr>
          <w:p>
            <w:r>
              <w:t>—</w:t>
            </w:r>
          </w:p>
        </w:tc>
        <w:tc>
          <w:tcPr>
            <w:tcW w:type="dxa" w:w="2412"/>
          </w:tcPr>
          <w:p>
            <w:r>
              <w:t>Conselheiro</w:t>
            </w:r>
          </w:p>
        </w:tc>
        <w:tc>
          <w:tcPr>
            <w:tcW w:type="dxa" w:w="2412"/>
          </w:tcPr>
          <w:p>
            <w:r>
              <w:t>Conselheiro RCA 06/03/2025</w:t>
            </w:r>
          </w:p>
        </w:tc>
      </w:tr>
    </w:tbl>
    <w:p/>
    <w:p>
      <w:pPr>
        <w:pStyle w:val="Heading2"/>
      </w:pPr>
      <w:r>
        <w:rPr>
          <w:color w:val="7A0C0C"/>
        </w:rPr>
        <w:t>IV.2 Pessoas jurídicas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Entidade</w:t>
            </w:r>
          </w:p>
        </w:tc>
        <w:tc>
          <w:tcPr>
            <w:tcW w:type="dxa" w:w="3216"/>
          </w:tcPr>
          <w:p>
            <w:r>
              <w:rPr>
                <w:b/>
              </w:rPr>
              <w:t>CNPJ</w:t>
            </w:r>
          </w:p>
        </w:tc>
        <w:tc>
          <w:tcPr>
            <w:tcW w:type="dxa" w:w="3216"/>
          </w:tcPr>
          <w:p>
            <w:r>
              <w:rPr>
                <w:b/>
              </w:rPr>
              <w:t>Função</w:t>
            </w:r>
          </w:p>
        </w:tc>
      </w:tr>
      <w:tr>
        <w:tc>
          <w:tcPr>
            <w:tcW w:type="dxa" w:w="3216"/>
          </w:tcPr>
          <w:p>
            <w:r>
              <w:t>E-Vino Comércio de Vinhos S.A.</w:t>
            </w:r>
          </w:p>
        </w:tc>
        <w:tc>
          <w:tcPr>
            <w:tcW w:type="dxa" w:w="3216"/>
          </w:tcPr>
          <w:p>
            <w:r>
              <w:t>17.392.519/0001-65 (NIRE 35.300.511.891)</w:t>
            </w:r>
          </w:p>
        </w:tc>
        <w:tc>
          <w:tcPr>
            <w:tcW w:type="dxa" w:w="3216"/>
          </w:tcPr>
          <w:p>
            <w:r>
              <w:t>Companhia operacional / Emitente</w:t>
            </w:r>
          </w:p>
        </w:tc>
      </w:tr>
      <w:tr>
        <w:tc>
          <w:tcPr>
            <w:tcW w:type="dxa" w:w="3216"/>
          </w:tcPr>
          <w:p>
            <w:r>
              <w:t>Bonifácio FIP (Classe Única Mult. Resp. Limitada)</w:t>
            </w:r>
          </w:p>
        </w:tc>
        <w:tc>
          <w:tcPr>
            <w:tcW w:type="dxa" w:w="3216"/>
          </w:tcPr>
          <w:p>
            <w:r>
              <w:t>59.402.540/0001-44</w:t>
            </w:r>
          </w:p>
        </w:tc>
        <w:tc>
          <w:tcPr>
            <w:tcW w:type="dxa" w:w="3216"/>
          </w:tcPr>
          <w:p>
            <w:r>
              <w:t>FIP investidor (constituído 11/02/2025)</w:t>
            </w:r>
          </w:p>
        </w:tc>
      </w:tr>
      <w:tr>
        <w:tc>
          <w:tcPr>
            <w:tcW w:type="dxa" w:w="3216"/>
          </w:tcPr>
          <w:p>
            <w:r>
              <w:t>Ajaccio FIP Multiestratégia</w:t>
            </w:r>
          </w:p>
        </w:tc>
        <w:tc>
          <w:tcPr>
            <w:tcW w:type="dxa" w:w="3216"/>
          </w:tcPr>
          <w:p>
            <w:r>
              <w:t>37.381.595/0001-82</w:t>
            </w:r>
          </w:p>
        </w:tc>
        <w:tc>
          <w:tcPr>
            <w:tcW w:type="dxa" w:w="3216"/>
          </w:tcPr>
          <w:p>
            <w:r>
              <w:t>Acionista pré-existente (11.935.645 ON); renunciou preferência</w:t>
            </w:r>
          </w:p>
        </w:tc>
      </w:tr>
      <w:tr>
        <w:tc>
          <w:tcPr>
            <w:tcW w:type="dxa" w:w="3216"/>
          </w:tcPr>
          <w:p>
            <w:r>
              <w:t>Vinci Capital Gestora de Recursos Ltda.</w:t>
            </w:r>
          </w:p>
        </w:tc>
        <w:tc>
          <w:tcPr>
            <w:tcW w:type="dxa" w:w="3216"/>
          </w:tcPr>
          <w:p>
            <w:r>
              <w:t>11.079.478/0001-75</w:t>
            </w:r>
          </w:p>
        </w:tc>
        <w:tc>
          <w:tcPr>
            <w:tcW w:type="dxa" w:w="3216"/>
          </w:tcPr>
          <w:p>
            <w:r>
              <w:t>Gestora do Bonifácio + Ajaccio — Av. Bartolomeu Mitre, 336, Leblon, RJ</w:t>
            </w:r>
          </w:p>
        </w:tc>
      </w:tr>
      <w:tr>
        <w:tc>
          <w:tcPr>
            <w:tcW w:type="dxa" w:w="3216"/>
          </w:tcPr>
          <w:p>
            <w:r>
              <w:t>Anacapri/Brescia/Cetara Investments L.P.</w:t>
            </w:r>
          </w:p>
        </w:tc>
        <w:tc>
          <w:tcPr>
            <w:tcW w:type="dxa" w:w="3216"/>
          </w:tcPr>
          <w:p>
            <w:r>
              <w:t>(Delaware)</w:t>
            </w:r>
          </w:p>
        </w:tc>
        <w:tc>
          <w:tcPr>
            <w:tcW w:type="dxa" w:w="3216"/>
          </w:tcPr>
          <w:p>
            <w:r>
              <w:t>Acionistas offshore constituídas em fev/2025; renunciaram preferência</w:t>
            </w:r>
          </w:p>
        </w:tc>
      </w:tr>
      <w:tr>
        <w:tc>
          <w:tcPr>
            <w:tcW w:type="dxa" w:w="3216"/>
          </w:tcPr>
          <w:p>
            <w:r>
              <w:t>Vórtx DTVM Ltda.</w:t>
            </w:r>
          </w:p>
        </w:tc>
        <w:tc>
          <w:tcPr>
            <w:tcW w:type="dxa" w:w="3216"/>
          </w:tcPr>
          <w:p>
            <w:r>
              <w:t>22.610.500/0001-88 (NIRE 35229235874)</w:t>
            </w:r>
          </w:p>
        </w:tc>
        <w:tc>
          <w:tcPr>
            <w:tcW w:type="dxa" w:w="3216"/>
          </w:tcPr>
          <w:p>
            <w:r>
              <w:t>DTVM regulada — escrituradora/custodiante (Res. CVM nº 32 e 33/2021); sócia única VX Holding Financeira S.A.; Diretor Cherri (Custódia); Diretor Ramos (Escrituração TVM)</w:t>
            </w:r>
          </w:p>
        </w:tc>
      </w:tr>
    </w:tbl>
    <w:p/>
    <w:p>
      <w:pPr>
        <w:pStyle w:val="Heading1"/>
      </w:pPr>
      <w:r>
        <w:rPr>
          <w:color w:val="1A1A1A"/>
        </w:rPr>
        <w:t>V. Análise das subscrições — três fluxos, dois subscritores, preço uniforme R$ 130,95</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rPr>
              <w:t>#</w:t>
            </w:r>
          </w:p>
        </w:tc>
        <w:tc>
          <w:tcPr>
            <w:tcW w:type="dxa" w:w="1608"/>
          </w:tcPr>
          <w:p>
            <w:r>
              <w:rPr>
                <w:b/>
              </w:rPr>
              <w:t>Data</w:t>
            </w:r>
          </w:p>
        </w:tc>
        <w:tc>
          <w:tcPr>
            <w:tcW w:type="dxa" w:w="1608"/>
          </w:tcPr>
          <w:p>
            <w:r>
              <w:rPr>
                <w:b/>
              </w:rPr>
              <w:t>Subscritor</w:t>
            </w:r>
          </w:p>
        </w:tc>
        <w:tc>
          <w:tcPr>
            <w:tcW w:type="dxa" w:w="1608"/>
          </w:tcPr>
          <w:p>
            <w:r>
              <w:rPr>
                <w:b/>
              </w:rPr>
              <w:t>Quantidade</w:t>
            </w:r>
          </w:p>
        </w:tc>
        <w:tc>
          <w:tcPr>
            <w:tcW w:type="dxa" w:w="1608"/>
          </w:tcPr>
          <w:p>
            <w:r>
              <w:rPr>
                <w:b/>
              </w:rPr>
              <w:t>Valor</w:t>
            </w:r>
          </w:p>
        </w:tc>
        <w:tc>
          <w:tcPr>
            <w:tcW w:type="dxa" w:w="1608"/>
          </w:tcPr>
          <w:p>
            <w:r>
              <w:rPr>
                <w:b/>
              </w:rPr>
              <w:t>Forma</w:t>
            </w:r>
          </w:p>
        </w:tc>
      </w:tr>
      <w:tr>
        <w:tc>
          <w:tcPr>
            <w:tcW w:type="dxa" w:w="1608"/>
          </w:tcPr>
          <w:p>
            <w:r>
              <w:t>S1</w:t>
            </w:r>
          </w:p>
        </w:tc>
        <w:tc>
          <w:tcPr>
            <w:tcW w:type="dxa" w:w="1608"/>
          </w:tcPr>
          <w:p>
            <w:r>
              <w:t>14/02/2025</w:t>
            </w:r>
          </w:p>
        </w:tc>
        <w:tc>
          <w:tcPr>
            <w:tcW w:type="dxa" w:w="1608"/>
          </w:tcPr>
          <w:p>
            <w:r>
              <w:t>Ricardo Costa (boletim único)</w:t>
            </w:r>
          </w:p>
        </w:tc>
        <w:tc>
          <w:tcPr>
            <w:tcW w:type="dxa" w:w="1608"/>
          </w:tcPr>
          <w:p>
            <w:r>
              <w:t>137.452 PN</w:t>
            </w:r>
          </w:p>
        </w:tc>
        <w:tc>
          <w:tcPr>
            <w:tcW w:type="dxa" w:w="1608"/>
          </w:tcPr>
          <w:p>
            <w:r>
              <w:t>R$ 17.999.739,49</w:t>
            </w:r>
          </w:p>
        </w:tc>
        <w:tc>
          <w:tcPr>
            <w:tcW w:type="dxa" w:w="1608"/>
          </w:tcPr>
          <w:p>
            <w:r>
              <w:t>CAPITALIZAÇÃO de 15.777 debêntures incentivadas (subscritas até 20/06/2024)</w:t>
            </w:r>
          </w:p>
        </w:tc>
      </w:tr>
      <w:tr>
        <w:tc>
          <w:tcPr>
            <w:tcW w:type="dxa" w:w="1608"/>
          </w:tcPr>
          <w:p>
            <w:r>
              <w:t>S2</w:t>
            </w:r>
          </w:p>
        </w:tc>
        <w:tc>
          <w:tcPr>
            <w:tcW w:type="dxa" w:w="1608"/>
          </w:tcPr>
          <w:p>
            <w:r>
              <w:t>28/02/2025</w:t>
            </w:r>
          </w:p>
        </w:tc>
        <w:tc>
          <w:tcPr>
            <w:tcW w:type="dxa" w:w="1608"/>
          </w:tcPr>
          <w:p>
            <w:r>
              <w:t>Ricardo Costa (Boletim nº 1)</w:t>
            </w:r>
          </w:p>
        </w:tc>
        <w:tc>
          <w:tcPr>
            <w:tcW w:type="dxa" w:w="1608"/>
          </w:tcPr>
          <w:p>
            <w:r>
              <w:t>38.182 PN</w:t>
            </w:r>
          </w:p>
        </w:tc>
        <w:tc>
          <w:tcPr>
            <w:tcW w:type="dxa" w:w="1608"/>
          </w:tcPr>
          <w:p>
            <w:r>
              <w:t>R$ 5.000.000,00</w:t>
            </w:r>
          </w:p>
        </w:tc>
        <w:tc>
          <w:tcPr>
            <w:tcW w:type="dxa" w:w="1608"/>
          </w:tcPr>
          <w:p>
            <w:r>
              <w:t>Transferência de recursos imediatamente disponíveis</w:t>
            </w:r>
          </w:p>
        </w:tc>
      </w:tr>
      <w:tr>
        <w:tc>
          <w:tcPr>
            <w:tcW w:type="dxa" w:w="1608"/>
          </w:tcPr>
          <w:p>
            <w:r>
              <w:t>S3</w:t>
            </w:r>
          </w:p>
        </w:tc>
        <w:tc>
          <w:tcPr>
            <w:tcW w:type="dxa" w:w="1608"/>
          </w:tcPr>
          <w:p>
            <w:r>
              <w:t>28/02/2025</w:t>
            </w:r>
          </w:p>
        </w:tc>
        <w:tc>
          <w:tcPr>
            <w:tcW w:type="dxa" w:w="1608"/>
          </w:tcPr>
          <w:p>
            <w:r>
              <w:t>Bonifácio FIP (Boletim nº 2 — representado pela Vinci Capital Gestora)</w:t>
            </w:r>
          </w:p>
        </w:tc>
        <w:tc>
          <w:tcPr>
            <w:tcW w:type="dxa" w:w="1608"/>
          </w:tcPr>
          <w:p>
            <w:r>
              <w:t>137.454 PN</w:t>
            </w:r>
          </w:p>
        </w:tc>
        <w:tc>
          <w:tcPr>
            <w:tcW w:type="dxa" w:w="1608"/>
          </w:tcPr>
          <w:p>
            <w:r>
              <w:t>R$ 18.000.000,00</w:t>
            </w:r>
          </w:p>
        </w:tc>
        <w:tc>
          <w:tcPr>
            <w:tcW w:type="dxa" w:w="1608"/>
          </w:tcPr>
          <w:p>
            <w:r>
              <w:t>Transferência de recursos imediatamente disponíveis</w:t>
            </w:r>
          </w:p>
        </w:tc>
      </w:tr>
      <w:tr>
        <w:tc>
          <w:tcPr>
            <w:tcW w:type="dxa" w:w="1608"/>
          </w:tcPr>
          <w:p>
            <w:r>
              <w:t>Total</w:t>
            </w:r>
          </w:p>
        </w:tc>
        <w:tc>
          <w:tcPr>
            <w:tcW w:type="dxa" w:w="1608"/>
          </w:tcPr>
          <w:p>
            <w:r>
              <w:t>—</w:t>
            </w:r>
          </w:p>
        </w:tc>
        <w:tc>
          <w:tcPr>
            <w:tcW w:type="dxa" w:w="1608"/>
          </w:tcPr>
          <w:p>
            <w:r>
              <w:t>313.088 PN</w:t>
            </w:r>
          </w:p>
        </w:tc>
        <w:tc>
          <w:tcPr>
            <w:tcW w:type="dxa" w:w="1608"/>
          </w:tcPr>
          <w:p>
            <w:r>
              <w:t>—</w:t>
            </w:r>
          </w:p>
        </w:tc>
        <w:tc>
          <w:tcPr>
            <w:tcW w:type="dxa" w:w="1608"/>
          </w:tcPr>
          <w:p>
            <w:r>
              <w:t>R$ 40.999.739,49</w:t>
            </w:r>
          </w:p>
        </w:tc>
        <w:tc>
          <w:tcPr>
            <w:tcW w:type="dxa" w:w="1608"/>
          </w:tcPr>
          <w:p>
            <w:r>
              <w:t>—</w:t>
            </w:r>
          </w:p>
        </w:tc>
      </w:tr>
    </w:tbl>
    <w:p/>
    <w:p>
      <w:pPr>
        <w:pStyle w:val="Heading1"/>
      </w:pPr>
      <w:r>
        <w:rPr>
          <w:color w:val="1A1A1A"/>
        </w:rPr>
        <w:t>VI. Análise das debêntures incentivadas</w:t>
      </w:r>
    </w:p>
    <w:tbl>
      <w:tblPr>
        <w:tblStyle w:val="LightGrid-Accent1"/>
        <w:tblW w:type="auto" w:w="0"/>
        <w:tblLook w:firstColumn="1" w:firstRow="1" w:lastColumn="0" w:lastRow="0" w:noHBand="0" w:noVBand="1" w:val="04A0"/>
      </w:tblPr>
      <w:tblGrid>
        <w:gridCol w:w="4824"/>
        <w:gridCol w:w="4824"/>
      </w:tblGrid>
      <w:tr>
        <w:tc>
          <w:tcPr>
            <w:tcW w:type="dxa" w:w="4824"/>
          </w:tcPr>
          <w:p>
            <w:r>
              <w:rPr>
                <w:b/>
              </w:rPr>
              <w:t>Item</w:t>
            </w:r>
          </w:p>
        </w:tc>
        <w:tc>
          <w:tcPr>
            <w:tcW w:type="dxa" w:w="4824"/>
          </w:tcPr>
          <w:p>
            <w:r>
              <w:rPr>
                <w:b/>
              </w:rPr>
              <w:t>Dado</w:t>
            </w:r>
          </w:p>
        </w:tc>
      </w:tr>
      <w:tr>
        <w:tc>
          <w:tcPr>
            <w:tcW w:type="dxa" w:w="4824"/>
          </w:tcPr>
          <w:p>
            <w:r>
              <w:t>Quantidade</w:t>
            </w:r>
          </w:p>
        </w:tc>
        <w:tc>
          <w:tcPr>
            <w:tcW w:type="dxa" w:w="4824"/>
          </w:tcPr>
          <w:p>
            <w:r>
              <w:t>15.777 debêntures</w:t>
            </w:r>
          </w:p>
        </w:tc>
      </w:tr>
      <w:tr>
        <w:tc>
          <w:tcPr>
            <w:tcW w:type="dxa" w:w="4824"/>
          </w:tcPr>
          <w:p>
            <w:r>
              <w:t>Modalidade</w:t>
            </w:r>
          </w:p>
        </w:tc>
        <w:tc>
          <w:tcPr>
            <w:tcW w:type="dxa" w:w="4824"/>
          </w:tcPr>
          <w:p>
            <w:r>
              <w:t>Incentivadas (provavelmente Lei nº 12.431/2011 — confirmar via Termo de Emissão)</w:t>
            </w:r>
          </w:p>
        </w:tc>
      </w:tr>
      <w:tr>
        <w:tc>
          <w:tcPr>
            <w:tcW w:type="dxa" w:w="4824"/>
          </w:tcPr>
          <w:p>
            <w:r>
              <w:t>Forma de colocação</w:t>
            </w:r>
          </w:p>
        </w:tc>
        <w:tc>
          <w:tcPr>
            <w:tcW w:type="dxa" w:w="4824"/>
          </w:tcPr>
          <w:p>
            <w:r>
              <w:t>Privada</w:t>
            </w:r>
          </w:p>
        </w:tc>
      </w:tr>
      <w:tr>
        <w:tc>
          <w:tcPr>
            <w:tcW w:type="dxa" w:w="4824"/>
          </w:tcPr>
          <w:p>
            <w:r>
              <w:t>Subscritor</w:t>
            </w:r>
          </w:p>
        </w:tc>
        <w:tc>
          <w:tcPr>
            <w:tcW w:type="dxa" w:w="4824"/>
          </w:tcPr>
          <w:p>
            <w:r>
              <w:t>Ricardo Fernandes de Sousa Costa (CPF 605.476.260-53)</w:t>
            </w:r>
          </w:p>
        </w:tc>
      </w:tr>
      <w:tr>
        <w:tc>
          <w:tcPr>
            <w:tcW w:type="dxa" w:w="4824"/>
          </w:tcPr>
          <w:p>
            <w:r>
              <w:t>Data-limite de subscrição</w:t>
            </w:r>
          </w:p>
        </w:tc>
        <w:tc>
          <w:tcPr>
            <w:tcW w:type="dxa" w:w="4824"/>
          </w:tcPr>
          <w:p>
            <w:r>
              <w:t>Até 20/06/2024</w:t>
            </w:r>
          </w:p>
        </w:tc>
      </w:tr>
      <w:tr>
        <w:tc>
          <w:tcPr>
            <w:tcW w:type="dxa" w:w="4824"/>
          </w:tcPr>
          <w:p>
            <w:r>
              <w:t>Destino</w:t>
            </w:r>
          </w:p>
        </w:tc>
        <w:tc>
          <w:tcPr>
            <w:tcW w:type="dxa" w:w="4824"/>
          </w:tcPr>
          <w:p>
            <w:r>
              <w:t>Capitalizadas em 137.452 ações PN da E-Vino em 14/02/2025</w:t>
            </w:r>
          </w:p>
        </w:tc>
      </w:tr>
      <w:tr>
        <w:tc>
          <w:tcPr>
            <w:tcW w:type="dxa" w:w="4824"/>
          </w:tcPr>
          <w:p>
            <w:r>
              <w:t>Valor total capitalizado</w:t>
            </w:r>
          </w:p>
        </w:tc>
        <w:tc>
          <w:tcPr>
            <w:tcW w:type="dxa" w:w="4824"/>
          </w:tcPr>
          <w:p>
            <w:r>
              <w:t>R$ 17.999.739,49 (≈ R$ 1.140,76 por debênture)</w:t>
            </w:r>
          </w:p>
        </w:tc>
      </w:tr>
      <w:tr>
        <w:tc>
          <w:tcPr>
            <w:tcW w:type="dxa" w:w="4824"/>
          </w:tcPr>
          <w:p>
            <w:r>
              <w:t>Diligências pendentes</w:t>
            </w:r>
          </w:p>
        </w:tc>
        <w:tc>
          <w:tcPr>
            <w:tcW w:type="dxa" w:w="4824"/>
          </w:tcPr>
          <w:p>
            <w:r>
              <w:t>Termo de Emissão das debêntures; ata da assembleia que aprovou a emissão; identidade do agente fiduciário; modalidade incentivada (Lei 12.431?); registro CVM ou ANBIMA</w:t>
            </w:r>
          </w:p>
        </w:tc>
      </w:tr>
    </w:tbl>
    <w:p/>
    <w:p>
      <w:pPr>
        <w:jc w:val="both"/>
      </w:pPr>
      <w:r>
        <w:rPr>
          <w:b w:val="0"/>
          <w:i w:val="0"/>
        </w:rPr>
        <w:t>A operação D1 (14/02/2025) é conversão contábil: as debêntures que eram passivo da E-Vino (dívida com Ricardo Costa) deixam de existir como passivo e transformam-se em capital. Efeito nulo no caixa, positivo no PL (R$ 17,99 MM), com diluição proporcional dos demais acionistas — concentrada em Ajaccio, Anacapri, Brescia e Cetara que renunciaram à preferência.</w:t>
      </w:r>
    </w:p>
    <w:p>
      <w:pPr>
        <w:pStyle w:val="Heading1"/>
      </w:pPr>
      <w:r>
        <w:rPr>
          <w:color w:val="1A1A1A"/>
        </w:rPr>
        <w:t>VII. Análise das Notas Comerciais Escriturais — R$ 24 MM, 06/03/2025</w:t>
      </w:r>
    </w:p>
    <w:tbl>
      <w:tblPr>
        <w:tblStyle w:val="LightGrid-Accent1"/>
        <w:tblW w:type="auto" w:w="0"/>
        <w:tblLook w:firstColumn="1" w:firstRow="1" w:lastColumn="0" w:lastRow="0" w:noHBand="0" w:noVBand="1" w:val="04A0"/>
      </w:tblPr>
      <w:tblGrid>
        <w:gridCol w:w="4824"/>
        <w:gridCol w:w="4824"/>
      </w:tblGrid>
      <w:tr>
        <w:tc>
          <w:tcPr>
            <w:tcW w:type="dxa" w:w="4824"/>
          </w:tcPr>
          <w:p>
            <w:r>
              <w:rPr>
                <w:b/>
              </w:rPr>
              <w:t>Item</w:t>
            </w:r>
          </w:p>
        </w:tc>
        <w:tc>
          <w:tcPr>
            <w:tcW w:type="dxa" w:w="4824"/>
          </w:tcPr>
          <w:p>
            <w:r>
              <w:rPr>
                <w:b/>
              </w:rPr>
              <w:t>Dado</w:t>
            </w:r>
          </w:p>
        </w:tc>
      </w:tr>
      <w:tr>
        <w:tc>
          <w:tcPr>
            <w:tcW w:type="dxa" w:w="4824"/>
          </w:tcPr>
          <w:p>
            <w:r>
              <w:t>Base legal</w:t>
            </w:r>
          </w:p>
        </w:tc>
        <w:tc>
          <w:tcPr>
            <w:tcW w:type="dxa" w:w="4824"/>
          </w:tcPr>
          <w:p>
            <w:r>
              <w:t>Lei nº 14.195/2021 art. 45 e seguintes; Cláusula 18 do Estatuto/Contrato Social</w:t>
            </w:r>
          </w:p>
        </w:tc>
      </w:tr>
      <w:tr>
        <w:tc>
          <w:tcPr>
            <w:tcW w:type="dxa" w:w="4824"/>
          </w:tcPr>
          <w:p>
            <w:r>
              <w:t>Valor total</w:t>
            </w:r>
          </w:p>
        </w:tc>
        <w:tc>
          <w:tcPr>
            <w:tcW w:type="dxa" w:w="4824"/>
          </w:tcPr>
          <w:p>
            <w:r>
              <w:t>R$ 24.000.000,00</w:t>
            </w:r>
          </w:p>
        </w:tc>
      </w:tr>
      <w:tr>
        <w:tc>
          <w:tcPr>
            <w:tcW w:type="dxa" w:w="4824"/>
          </w:tcPr>
          <w:p>
            <w:r>
              <w:t>Quantidade</w:t>
            </w:r>
          </w:p>
        </w:tc>
        <w:tc>
          <w:tcPr>
            <w:tcW w:type="dxa" w:w="4824"/>
          </w:tcPr>
          <w:p>
            <w:r>
              <w:t>24.000 notas comerciais escriturais</w:t>
            </w:r>
          </w:p>
        </w:tc>
      </w:tr>
      <w:tr>
        <w:tc>
          <w:tcPr>
            <w:tcW w:type="dxa" w:w="4824"/>
          </w:tcPr>
          <w:p>
            <w:r>
              <w:t>Valor nominal unitário</w:t>
            </w:r>
          </w:p>
        </w:tc>
        <w:tc>
          <w:tcPr>
            <w:tcW w:type="dxa" w:w="4824"/>
          </w:tcPr>
          <w:p>
            <w:r>
              <w:t>R$ 1.000,00</w:t>
            </w:r>
          </w:p>
        </w:tc>
      </w:tr>
      <w:tr>
        <w:tc>
          <w:tcPr>
            <w:tcW w:type="dxa" w:w="4824"/>
          </w:tcPr>
          <w:p>
            <w:r>
              <w:t>Número de séries</w:t>
            </w:r>
          </w:p>
        </w:tc>
        <w:tc>
          <w:tcPr>
            <w:tcW w:type="dxa" w:w="4824"/>
          </w:tcPr>
          <w:p>
            <w:r>
              <w:t>Série única</w:t>
            </w:r>
          </w:p>
        </w:tc>
      </w:tr>
      <w:tr>
        <w:tc>
          <w:tcPr>
            <w:tcW w:type="dxa" w:w="4824"/>
          </w:tcPr>
          <w:p>
            <w:r>
              <w:t>Prazo</w:t>
            </w:r>
          </w:p>
        </w:tc>
        <w:tc>
          <w:tcPr>
            <w:tcW w:type="dxa" w:w="4824"/>
          </w:tcPr>
          <w:p>
            <w:r>
              <w:t>Até 1.100 dias da Data de Emissão (≈ 3 anos)</w:t>
            </w:r>
          </w:p>
        </w:tc>
      </w:tr>
      <w:tr>
        <w:tc>
          <w:tcPr>
            <w:tcW w:type="dxa" w:w="4824"/>
          </w:tcPr>
          <w:p>
            <w:r>
              <w:t>Remuneração</w:t>
            </w:r>
          </w:p>
        </w:tc>
        <w:tc>
          <w:tcPr>
            <w:tcW w:type="dxa" w:w="4824"/>
          </w:tcPr>
          <w:p>
            <w:r>
              <w:t>Taxa DI (100% CDI) + spread de 4,50% a.a. (base 360 dias corridos)</w:t>
            </w:r>
          </w:p>
        </w:tc>
      </w:tr>
      <w:tr>
        <w:tc>
          <w:tcPr>
            <w:tcW w:type="dxa" w:w="4824"/>
          </w:tcPr>
          <w:p>
            <w:r>
              <w:t>Garantia real</w:t>
            </w:r>
          </w:p>
        </w:tc>
        <w:tc>
          <w:tcPr>
            <w:tcW w:type="dxa" w:w="4824"/>
          </w:tcPr>
          <w:p>
            <w:r>
              <w:t>Cessão Fiduciária de Direitos Creditórios — constituída pela Emitente em favor dos titulares</w:t>
            </w:r>
          </w:p>
        </w:tc>
      </w:tr>
      <w:tr>
        <w:tc>
          <w:tcPr>
            <w:tcW w:type="dxa" w:w="4824"/>
          </w:tcPr>
          <w:p>
            <w:r>
              <w:t>Garantia fidejussória</w:t>
            </w:r>
          </w:p>
        </w:tc>
        <w:tc>
          <w:tcPr>
            <w:tcW w:type="dxa" w:w="4824"/>
          </w:tcPr>
          <w:p>
            <w:r>
              <w:t>Fiança prestada pela GARANTIDORA — "as pessoas jurídicas [e as pessoas físicas] que outorgarão" — IDENTIDADE NÃO NOMINADA na RCA</w:t>
            </w:r>
          </w:p>
        </w:tc>
      </w:tr>
      <w:tr>
        <w:tc>
          <w:tcPr>
            <w:tcW w:type="dxa" w:w="4824"/>
          </w:tcPr>
          <w:p>
            <w:r>
              <w:t>Colocação</w:t>
            </w:r>
          </w:p>
        </w:tc>
        <w:tc>
          <w:tcPr>
            <w:tcW w:type="dxa" w:w="4824"/>
          </w:tcPr>
          <w:p>
            <w:r>
              <w:t>Privada</w:t>
            </w:r>
          </w:p>
        </w:tc>
      </w:tr>
      <w:tr>
        <w:tc>
          <w:tcPr>
            <w:tcW w:type="dxa" w:w="4824"/>
          </w:tcPr>
          <w:p>
            <w:r>
              <w:t>Credor (titular)</w:t>
            </w:r>
          </w:p>
        </w:tc>
        <w:tc>
          <w:tcPr>
            <w:tcW w:type="dxa" w:w="4824"/>
          </w:tcPr>
          <w:p>
            <w:r>
              <w:t>Mencionado genericamente — IDENTIDADE NÃO NOMINADA na RCA</w:t>
            </w:r>
          </w:p>
        </w:tc>
      </w:tr>
      <w:tr>
        <w:tc>
          <w:tcPr>
            <w:tcW w:type="dxa" w:w="4824"/>
          </w:tcPr>
          <w:p>
            <w:r>
              <w:t>Agente fiduciário / escriturador</w:t>
            </w:r>
          </w:p>
        </w:tc>
        <w:tc>
          <w:tcPr>
            <w:tcW w:type="dxa" w:w="4824"/>
          </w:tcPr>
          <w:p>
            <w:r>
              <w:t>Não nominado na RCA; INFERIDO COMO VÓRTX DTVM dado o vínculo documental cruzado (D4, D5)</w:t>
            </w:r>
          </w:p>
        </w:tc>
      </w:tr>
    </w:tbl>
    <w:p/>
    <w:p>
      <w:pPr>
        <w:jc w:val="both"/>
      </w:pPr>
      <w:r>
        <w:rPr>
          <w:b w:val="0"/>
          <w:i w:val="0"/>
        </w:rPr>
        <w:t>Pontos de diligência sobre as notas comerciais:</w:t>
      </w:r>
    </w:p>
    <w:p>
      <w:pPr>
        <w:jc w:val="both"/>
      </w:pPr>
      <w:r>
        <w:rPr>
          <w:b w:val="0"/>
          <w:i w:val="0"/>
        </w:rPr>
        <w:t>1. Termo de Emissão da 1ª Emissão — instrumento que identifica nominalmente Credor, Garantidora, Banco Liquidante e Escriturador.</w:t>
      </w:r>
    </w:p>
    <w:p>
      <w:pPr>
        <w:jc w:val="both"/>
      </w:pPr>
      <w:r>
        <w:rPr>
          <w:b w:val="0"/>
          <w:i w:val="0"/>
        </w:rPr>
        <w:t>2. Contrato de Cessão Fiduciária de Direitos Creditórios — qual conjunto de direitos creditórios cedidos.</w:t>
      </w:r>
    </w:p>
    <w:p>
      <w:pPr>
        <w:jc w:val="both"/>
      </w:pPr>
      <w:r>
        <w:rPr>
          <w:b w:val="0"/>
          <w:i w:val="0"/>
        </w:rPr>
        <w:t>3. Identidade da Garantidora — única ou múltipla? Pessoa jurídica do grupo Víssimo/Grand Cru/Agro Syrah/Interbeverages, ou terceiro independente?</w:t>
      </w:r>
    </w:p>
    <w:p>
      <w:pPr>
        <w:jc w:val="both"/>
      </w:pPr>
      <w:r>
        <w:rPr>
          <w:b w:val="0"/>
          <w:i w:val="0"/>
        </w:rPr>
        <w:t>4. Registro na B3 / ANBIMA — confirmar custódia e escrituração.</w:t>
      </w:r>
    </w:p>
    <w:p>
      <w:pPr>
        <w:jc w:val="both"/>
      </w:pPr>
      <w:r>
        <w:rPr>
          <w:b w:val="0"/>
          <w:i w:val="0"/>
        </w:rPr>
        <w:t>5. Data efetiva de Emissão e Data de Vencimento — não fixadas na RCA, dependem do Termo de Emissão.</w:t>
      </w:r>
    </w:p>
    <w:p>
      <w:pPr>
        <w:pStyle w:val="Heading1"/>
      </w:pPr>
      <w:r>
        <w:rPr>
          <w:color w:val="1A1A1A"/>
        </w:rPr>
        <w:t>VIII. Conselho de administração de 06/03/2025 — sete conselheiros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Posição</w:t>
            </w:r>
          </w:p>
        </w:tc>
        <w:tc>
          <w:tcPr>
            <w:tcW w:type="dxa" w:w="3216"/>
          </w:tcPr>
          <w:p>
            <w:r>
              <w:rPr>
                <w:b/>
              </w:rPr>
              <w:t>Nome</w:t>
            </w:r>
          </w:p>
        </w:tc>
        <w:tc>
          <w:tcPr>
            <w:tcW w:type="dxa" w:w="3216"/>
          </w:tcPr>
          <w:p>
            <w:r>
              <w:rPr>
                <w:b/>
              </w:rPr>
              <w:t>Vínculo</w:t>
            </w:r>
          </w:p>
        </w:tc>
      </w:tr>
      <w:tr>
        <w:tc>
          <w:tcPr>
            <w:tcW w:type="dxa" w:w="3216"/>
          </w:tcPr>
          <w:p>
            <w:r>
              <w:t>Presidente</w:t>
            </w:r>
          </w:p>
        </w:tc>
        <w:tc>
          <w:tcPr>
            <w:tcW w:type="dxa" w:w="3216"/>
          </w:tcPr>
          <w:p>
            <w:r>
              <w:t>Ricardo Fernandes de Sousa Costa</w:t>
            </w:r>
          </w:p>
        </w:tc>
        <w:tc>
          <w:tcPr>
            <w:tcW w:type="dxa" w:w="3216"/>
          </w:tcPr>
          <w:p>
            <w:r>
              <w:t>Cotista Ajaccio FIP; subscritor das debêntures e ações novas; residente em Madrid</w:t>
            </w:r>
          </w:p>
        </w:tc>
      </w:tr>
      <w:tr>
        <w:tc>
          <w:tcPr>
            <w:tcW w:type="dxa" w:w="3216"/>
          </w:tcPr>
          <w:p>
            <w:r>
              <w:t>Secretário</w:t>
            </w:r>
          </w:p>
        </w:tc>
        <w:tc>
          <w:tcPr>
            <w:tcW w:type="dxa" w:w="3216"/>
          </w:tcPr>
          <w:p>
            <w:r>
              <w:t>Marcos Leonel Leal</w:t>
            </w:r>
          </w:p>
        </w:tc>
        <w:tc>
          <w:tcPr>
            <w:tcW w:type="dxa" w:w="3216"/>
          </w:tcPr>
          <w:p>
            <w:r>
              <w:t>Co-CEO Víssimo Group</w:t>
            </w:r>
          </w:p>
        </w:tc>
      </w:tr>
      <w:tr>
        <w:tc>
          <w:tcPr>
            <w:tcW w:type="dxa" w:w="3216"/>
          </w:tcPr>
          <w:p>
            <w:r>
              <w:t>Conselheiro</w:t>
            </w:r>
          </w:p>
        </w:tc>
        <w:tc>
          <w:tcPr>
            <w:tcW w:type="dxa" w:w="3216"/>
          </w:tcPr>
          <w:p>
            <w:r>
              <w:t>Thiago Moreira Salles Costa</w:t>
            </w:r>
          </w:p>
        </w:tc>
        <w:tc>
          <w:tcPr>
            <w:tcW w:type="dxa" w:w="3216"/>
          </w:tcPr>
          <w:p>
            <w:r>
              <w:t>e-mail @vissimo.com.br — possível parente de Ricardo</w:t>
            </w:r>
          </w:p>
        </w:tc>
      </w:tr>
      <w:tr>
        <w:tc>
          <w:tcPr>
            <w:tcW w:type="dxa" w:w="3216"/>
          </w:tcPr>
          <w:p>
            <w:r>
              <w:t>Conselheiro</w:t>
            </w:r>
          </w:p>
        </w:tc>
        <w:tc>
          <w:tcPr>
            <w:tcW w:type="dxa" w:w="3216"/>
          </w:tcPr>
          <w:p>
            <w:r>
              <w:t>Fernando Campora</w:t>
            </w:r>
          </w:p>
        </w:tc>
        <w:tc>
          <w:tcPr>
            <w:tcW w:type="dxa" w:w="3216"/>
          </w:tcPr>
          <w:p>
            <w:r>
              <w:t>—</w:t>
            </w:r>
          </w:p>
        </w:tc>
      </w:tr>
      <w:tr>
        <w:tc>
          <w:tcPr>
            <w:tcW w:type="dxa" w:w="3216"/>
          </w:tcPr>
          <w:p>
            <w:r>
              <w:t>Conselheiro</w:t>
            </w:r>
          </w:p>
        </w:tc>
        <w:tc>
          <w:tcPr>
            <w:tcW w:type="dxa" w:w="3216"/>
          </w:tcPr>
          <w:p>
            <w:r>
              <w:t>Gabriel Felzenszwalb</w:t>
            </w:r>
          </w:p>
        </w:tc>
        <w:tc>
          <w:tcPr>
            <w:tcW w:type="dxa" w:w="3216"/>
          </w:tcPr>
          <w:p>
            <w:r>
              <w:t>Diretor da Vinci Capital Gestora (gestora de Ajaccio + Bonifácio)</w:t>
            </w:r>
          </w:p>
        </w:tc>
      </w:tr>
      <w:tr>
        <w:tc>
          <w:tcPr>
            <w:tcW w:type="dxa" w:w="3216"/>
          </w:tcPr>
          <w:p>
            <w:r>
              <w:t>Conselheiro</w:t>
            </w:r>
          </w:p>
        </w:tc>
        <w:tc>
          <w:tcPr>
            <w:tcW w:type="dxa" w:w="3216"/>
          </w:tcPr>
          <w:p>
            <w:r>
              <w:t>Ivel Cardoso Bittencourt de Castro</w:t>
            </w:r>
          </w:p>
        </w:tc>
        <w:tc>
          <w:tcPr>
            <w:tcW w:type="dxa" w:w="3216"/>
          </w:tcPr>
          <w:p>
            <w:r>
              <w:t>Grupo JCR — e-mail @grupojcr.com</w:t>
            </w:r>
          </w:p>
        </w:tc>
      </w:tr>
      <w:tr>
        <w:tc>
          <w:tcPr>
            <w:tcW w:type="dxa" w:w="3216"/>
          </w:tcPr>
          <w:p>
            <w:r>
              <w:t>Conselheiro</w:t>
            </w:r>
          </w:p>
        </w:tc>
        <w:tc>
          <w:tcPr>
            <w:tcW w:type="dxa" w:w="3216"/>
          </w:tcPr>
          <w:p>
            <w:r>
              <w:t>Antonio Carlos Castro Louro</w:t>
            </w:r>
          </w:p>
        </w:tc>
        <w:tc>
          <w:tcPr>
            <w:tcW w:type="dxa" w:w="3216"/>
          </w:tcPr>
          <w:p>
            <w:r>
              <w:t>Possível vínculo Grupo JCR</w:t>
            </w:r>
          </w:p>
        </w:tc>
      </w:tr>
    </w:tbl>
    <w:p/>
    <w:p>
      <w:pPr>
        <w:pStyle w:val="Heading1"/>
      </w:pPr>
      <w:r>
        <w:rPr>
          <w:color w:val="1A1A1A"/>
        </w:rPr>
        <w:t>IX. ACHADO-PIVÔ — Ari Gorenstein na E-Vino em 2025</w:t>
      </w:r>
    </w:p>
    <w:p>
      <w:pPr>
        <w:jc w:val="both"/>
      </w:pPr>
      <w:r>
        <w:rPr>
          <w:b/>
          <w:i w:val="0"/>
        </w:rPr>
        <w:t>A análise grafo dos sete documentos primários NÃO LOCALIZA Ari Gorenstein (CPF 136.447.108-64) em NENHUMA das seguintes posições nos atos de 2025:</w:t>
      </w:r>
    </w:p>
    <w:p>
      <w:pPr>
        <w:jc w:val="both"/>
      </w:pPr>
      <w:r>
        <w:rPr>
          <w:b w:val="0"/>
          <w:i w:val="0"/>
        </w:rPr>
        <w:t>• Não consta como acionista presente em qualquer das três assembleias (14/02, 28/02, 06/03/2025);</w:t>
      </w:r>
    </w:p>
    <w:p>
      <w:pPr>
        <w:jc w:val="both"/>
      </w:pPr>
      <w:r>
        <w:rPr>
          <w:b w:val="0"/>
          <w:i w:val="0"/>
        </w:rPr>
        <w:t>• Não consta no Conselho de Administração que aprovou a emissão de notas comerciais (RCA 06/03/2025);</w:t>
      </w:r>
    </w:p>
    <w:p>
      <w:pPr>
        <w:jc w:val="both"/>
      </w:pPr>
      <w:r>
        <w:rPr>
          <w:b w:val="0"/>
          <w:i w:val="0"/>
        </w:rPr>
        <w:t>• Não consta como subscritor de ações novas, debêntures ou notas comerciais;</w:t>
      </w:r>
    </w:p>
    <w:p>
      <w:pPr>
        <w:jc w:val="both"/>
      </w:pPr>
      <w:r>
        <w:rPr>
          <w:b w:val="0"/>
          <w:i w:val="0"/>
        </w:rPr>
        <w:t>• Não consta como garantidor real ou fidejussório das notas comerciais;</w:t>
      </w:r>
    </w:p>
    <w:p>
      <w:pPr>
        <w:jc w:val="both"/>
      </w:pPr>
      <w:r>
        <w:rPr>
          <w:b w:val="0"/>
          <w:i w:val="0"/>
        </w:rPr>
        <w:t>• Não consta como credor identificado na RCA 06/03/2025;</w:t>
      </w:r>
    </w:p>
    <w:p>
      <w:pPr>
        <w:jc w:val="both"/>
      </w:pPr>
      <w:r>
        <w:rPr>
          <w:b w:val="0"/>
          <w:i w:val="0"/>
        </w:rPr>
        <w:t>• Não consta como signatário de qualquer DocuSign envelope dos atos analisados.</w:t>
      </w:r>
    </w:p>
    <w:p>
      <w:pPr>
        <w:jc w:val="both"/>
      </w:pPr>
      <w:r>
        <w:rPr>
          <w:b/>
          <w:i w:val="0"/>
        </w:rPr>
        <w:t>Esse padrão, conjugado com (i) a CONFISSÃO EXPRESSA, em 13/06/2023 (fls. 572 dos autos), de que o FIP Ajaccio "nada mais é do que o veículo por meio do qual Ari detém sua participação na Evino", e (ii) a posição ativa em 06/03/2025 do conselheiro Gabriel Felzenszwalb (Diretor da Vinci Capital Gestora — GESTORA DO AJACCIO), produz inferência grafo-relacional decisiva: a participação econômica de Ari Gorenstein na E-Vino é REPRESENTADA, INDIRETAMENTE, pelo conselheiro Felzenszwalb na qualidade de diretor da gestora do FIP Ajaccio. A ausência formal NÃO É DESVINCULAÇÃO ECONÔMICA — é INTERPOSIÇÃO DE PESSOA JURÍDICA entre o cotista e a companhia operacional.</w:t>
      </w:r>
    </w:p>
    <w:p>
      <w:pPr>
        <w:jc w:val="both"/>
      </w:pPr>
      <w:r>
        <w:rPr>
          <w:b w:val="0"/>
          <w:i w:val="0"/>
        </w:rPr>
        <w:t>Achado relevante para análise de partes relacionadas (RPT) e para a tese de comunicabilidade pela origem desenvolvida nas teses v1 a v6 (Docs. 16-21).</w:t>
      </w:r>
    </w:p>
    <w:p>
      <w:pPr>
        <w:pStyle w:val="Heading1"/>
      </w:pPr>
      <w:r>
        <w:rPr>
          <w:color w:val="1A1A1A"/>
        </w:rPr>
        <w:t>X. Anomalias detectadas — sete pontos de atenção</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w:t>
            </w:r>
          </w:p>
        </w:tc>
        <w:tc>
          <w:tcPr>
            <w:tcW w:type="dxa" w:w="3216"/>
          </w:tcPr>
          <w:p>
            <w:r>
              <w:rPr>
                <w:b/>
              </w:rPr>
              <w:t>Anomalia</w:t>
            </w:r>
          </w:p>
        </w:tc>
        <w:tc>
          <w:tcPr>
            <w:tcW w:type="dxa" w:w="3216"/>
          </w:tcPr>
          <w:p>
            <w:r>
              <w:rPr>
                <w:b/>
              </w:rPr>
              <w:t>Risco</w:t>
            </w:r>
          </w:p>
        </w:tc>
      </w:tr>
      <w:tr>
        <w:tc>
          <w:tcPr>
            <w:tcW w:type="dxa" w:w="3216"/>
          </w:tcPr>
          <w:p>
            <w:r>
              <w:t>A1</w:t>
            </w:r>
          </w:p>
        </w:tc>
        <w:tc>
          <w:tcPr>
            <w:tcW w:type="dxa" w:w="3216"/>
          </w:tcPr>
          <w:p>
            <w:r>
              <w:t>Bonifácio FIP constituído em 11/02/2025 e subscreveu R$ 18 MM em ações E-Vino 17 dias depois — durante a litispendência</w:t>
            </w:r>
          </w:p>
        </w:tc>
        <w:tc>
          <w:tcPr>
            <w:tcW w:type="dxa" w:w="3216"/>
          </w:tcPr>
          <w:p>
            <w:r>
              <w:t>CRÍTICO</w:t>
            </w:r>
          </w:p>
        </w:tc>
      </w:tr>
      <w:tr>
        <w:tc>
          <w:tcPr>
            <w:tcW w:type="dxa" w:w="3216"/>
          </w:tcPr>
          <w:p>
            <w:r>
              <w:t>A2</w:t>
            </w:r>
          </w:p>
        </w:tc>
        <w:tc>
          <w:tcPr>
            <w:tcW w:type="dxa" w:w="3216"/>
          </w:tcPr>
          <w:p>
            <w:r>
              <w:t>15.777 debêntures incentivadas subscritas por Ricardo Costa até 20/06/2024 — sem identificação do Termo de Emissão, agente fiduciário ou modalidade</w:t>
            </w:r>
          </w:p>
        </w:tc>
        <w:tc>
          <w:tcPr>
            <w:tcW w:type="dxa" w:w="3216"/>
          </w:tcPr>
          <w:p>
            <w:r>
              <w:t>ALTO</w:t>
            </w:r>
          </w:p>
        </w:tc>
      </w:tr>
      <w:tr>
        <w:tc>
          <w:tcPr>
            <w:tcW w:type="dxa" w:w="3216"/>
          </w:tcPr>
          <w:p>
            <w:r>
              <w:t>A3</w:t>
            </w:r>
          </w:p>
        </w:tc>
        <w:tc>
          <w:tcPr>
            <w:tcW w:type="dxa" w:w="3216"/>
          </w:tcPr>
          <w:p>
            <w:r>
              <w:t>RCA 06/03/2025 deixa em aberto a identidade do Credor, da Garantidora e do agente fiduciário das notas comerciais</w:t>
            </w:r>
          </w:p>
        </w:tc>
        <w:tc>
          <w:tcPr>
            <w:tcW w:type="dxa" w:w="3216"/>
          </w:tcPr>
          <w:p>
            <w:r>
              <w:t>CRÍTICO</w:t>
            </w:r>
          </w:p>
        </w:tc>
      </w:tr>
      <w:tr>
        <w:tc>
          <w:tcPr>
            <w:tcW w:type="dxa" w:w="3216"/>
          </w:tcPr>
          <w:p>
            <w:r>
              <w:t>A4</w:t>
            </w:r>
          </w:p>
        </w:tc>
        <w:tc>
          <w:tcPr>
            <w:tcW w:type="dxa" w:w="3216"/>
          </w:tcPr>
          <w:p>
            <w:r>
              <w:t>Conselheiro Felzenszwalb é simultaneamente diretor da Vinci (gestora do Bonifácio que subscreveu R$ 18 MM na E-Vino 6 dias antes) — partes relacionadas</w:t>
            </w:r>
          </w:p>
        </w:tc>
        <w:tc>
          <w:tcPr>
            <w:tcW w:type="dxa" w:w="3216"/>
          </w:tcPr>
          <w:p>
            <w:r>
              <w:t>ALTO</w:t>
            </w:r>
          </w:p>
        </w:tc>
      </w:tr>
      <w:tr>
        <w:tc>
          <w:tcPr>
            <w:tcW w:type="dxa" w:w="3216"/>
          </w:tcPr>
          <w:p>
            <w:r>
              <w:t>A5</w:t>
            </w:r>
          </w:p>
        </w:tc>
        <w:tc>
          <w:tcPr>
            <w:tcW w:type="dxa" w:w="3216"/>
          </w:tcPr>
          <w:p>
            <w:r>
              <w:t>Anacapri/Brescia/Cetara L.P. (Delaware) renunciaram preferência em ambas AGEs — diluição econômica concentrada nessas offshores</w:t>
            </w:r>
          </w:p>
        </w:tc>
        <w:tc>
          <w:tcPr>
            <w:tcW w:type="dxa" w:w="3216"/>
          </w:tcPr>
          <w:p>
            <w:r>
              <w:t>ALTO</w:t>
            </w:r>
          </w:p>
        </w:tc>
      </w:tr>
      <w:tr>
        <w:tc>
          <w:tcPr>
            <w:tcW w:type="dxa" w:w="3216"/>
          </w:tcPr>
          <w:p>
            <w:r>
              <w:t>A6</w:t>
            </w:r>
          </w:p>
        </w:tc>
        <w:tc>
          <w:tcPr>
            <w:tcW w:type="dxa" w:w="3216"/>
          </w:tcPr>
          <w:p>
            <w:r>
              <w:t>Movimentação total de R$ 65 MM em 21 dias em janela de litispendência — recapitalização significativa</w:t>
            </w:r>
          </w:p>
        </w:tc>
        <w:tc>
          <w:tcPr>
            <w:tcW w:type="dxa" w:w="3216"/>
          </w:tcPr>
          <w:p>
            <w:r>
              <w:t>CRÍTICO</w:t>
            </w:r>
          </w:p>
        </w:tc>
      </w:tr>
      <w:tr>
        <w:tc>
          <w:tcPr>
            <w:tcW w:type="dxa" w:w="3216"/>
          </w:tcPr>
          <w:p>
            <w:r>
              <w:t>A7</w:t>
            </w:r>
          </w:p>
        </w:tc>
        <w:tc>
          <w:tcPr>
            <w:tcW w:type="dxa" w:w="3216"/>
          </w:tcPr>
          <w:p>
            <w:r>
              <w:t>Ausência absoluta de Ari Gorenstein dos órgãos e atos da E-Vino em 2025, em contraste com confissão fls. 572</w:t>
            </w:r>
          </w:p>
        </w:tc>
        <w:tc>
          <w:tcPr>
            <w:tcW w:type="dxa" w:w="3216"/>
          </w:tcPr>
          <w:p>
            <w:r>
              <w:t>CRÍTICO para a partilha</w:t>
            </w:r>
          </w:p>
        </w:tc>
      </w:tr>
    </w:tbl>
    <w:p/>
    <w:p>
      <w:pPr>
        <w:pStyle w:val="Heading1"/>
      </w:pPr>
      <w:r>
        <w:rPr>
          <w:color w:val="1A1A1A"/>
        </w:rPr>
        <w:t>XI. Síntese conclusiva</w:t>
      </w:r>
    </w:p>
    <w:p>
      <w:pPr>
        <w:jc w:val="both"/>
      </w:pPr>
      <w:r>
        <w:rPr>
          <w:b/>
          <w:i w:val="0"/>
        </w:rPr>
        <w:t>A análise grafo das cinco AGEs/RCAs da E-Vino entre 2017 e 2025 revela que o ecossistema operacional da Companhia continua plenamente ativo — com aumento de capital de R$ 41 MM em duas AGEs (14/02 e 28/02/2025) e emissão de R$ 24 MM em notas comerciais escriturais (RCA 06/03/2025) —, mas que Ari Gorenstein deixou de ocupar qualquer posição formal nos órgãos da Companhia. Sua participação econômica permanece, conforme confissão expressa de fls. 572 dos autos, intermediada pelo FIP Ajaccio (cujo gestor, Vinci Capital Gestora, tem diretor — Gabriel Felzenszwalb — presente no Conselho de Administração da E-Vino na RCA das notas comerciais). A figura grafo-relacional é, portanto, de INTERPOSIÇÃO DE PESSOA JURÍDICA — não de desvinculação patrimonial. Esta inferência é decisiva para a tese de comunicabilidade pela origem e para a aplicação dos enquadramentos de partes relacionadas e violência patrimonial estruturada já consolidados nas teses v1 a v6 (Docs. 16-21).</w:t>
      </w:r>
    </w:p>
    <w:p>
      <w:pPr>
        <w:pStyle w:val="Heading1"/>
      </w:pPr>
      <w:r>
        <w:rPr>
          <w:color w:val="1A1A1A"/>
        </w:rPr>
        <w:t>XII. Conformidade metodológica</w:t>
      </w:r>
    </w:p>
    <w:p>
      <w:pPr>
        <w:jc w:val="both"/>
      </w:pPr>
      <w:r>
        <w:rPr>
          <w:b w:val="0"/>
          <w:i w:val="0"/>
        </w:rPr>
        <w:t>Este dossiê é instrumento técnico-jurídico-contábil de apoio ao raciocínio da equipe; não é perícia oficial. Toda afirmação fática está ancorada em fontes documentais primárias verificadas: Atas de AGE/RCA arquivadas na JUCESP (protocolos 0.655.724/25-4, 0.655.796/25-3, 0.655.797/25-7); envelopes DocuSign com IDs únicos; Consulta CNPJ da Receita Federal; e atas societárias da Vórtx DTVM.</w:t>
      </w:r>
    </w:p>
    <w:p>
      <w:pPr>
        <w:jc w:val="both"/>
      </w:pPr>
      <w:r>
        <w:rPr>
          <w:b w:val="0"/>
          <w:i/>
        </w:rPr>
        <w:t>As inferências sobre interposição de pessoa jurídica e representação econômica indireta são hipóteses grafo-relacionais sustentadas por convergência cronométrica e por confissão expressa do Requerido (fls. 572 dos autos), mas NÃO CONSTITUEM IMPUTAÇÃO DE CONDUTA ILÍCITA a qualquer dos atores nomeados. Qualificações jurídicas em tese, sob CF 5º LVII.</w:t>
      </w:r>
    </w:p>
    <w:p>
      <w:pPr>
        <w:jc w:val="both"/>
      </w:pPr>
      <w:r>
        <w:rPr>
          <w:b w:val="0"/>
          <w:i w:val="0"/>
        </w:rPr>
        <w:t>Conversão em peça subscrita por OAB e em laudo CRC/CORECON antes de qualquer uso processual. Pessoas físicas anonimizadas em qualquer versão de circulação externa.</w:t>
      </w:r>
    </w:p>
    <w:p>
      <w:pPr>
        <w:jc w:val="center"/>
      </w:pPr>
      <w:r>
        <w:rPr>
          <w:i/>
          <w:sz w:val="17"/>
        </w:rPr>
        <w:t>Série DOSSIÊS E NOTAS TÉCNICAS — documento 24 · 14/06/2026 · INSTRUMENTO INTERNO · CONFIDENCIAL</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