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FFFF"/>
        </w:rPr>
        <w:t>CONFIDENCIAL · INSTRUMENTO INTERNO DE INSTRUÇÃO</w:t>
      </w:r>
    </w:p>
    <w:p>
      <w:pPr>
        <w:jc w:val="center"/>
      </w:pPr>
      <w:r>
        <w:rPr>
          <w:b/>
          <w:color w:val="5B1A1A"/>
          <w:sz w:val="28"/>
        </w:rPr>
        <w:t>DOCUMENTO 28</w:t>
        <w:br/>
        <w:t>CRUZAMENTO TEMPORAL · DIRPFs DO REQUERIDO × ATOS SOCIETÁRIOS DA E-VINO × MOVIMENTAÇÕES DE FUNDOS</w:t>
      </w:r>
    </w:p>
    <w:p>
      <w:r>
        <w:rPr>
          <w:rFonts w:ascii="Georgia" w:hAnsi="Georgia"/>
          <w:i/>
          <w:sz w:val="20"/>
        </w:rPr>
        <w:t>Reconstrução analítica multi-ano da evolução patrimonial, dos credores, garantidores e fluxos de capital cruzados com as AGEs, debêntures e atos societários mapeados nos Documentos 22-27 — em tese, sob CPC art. 472 e CF art. 5º, LVII</w:t>
      </w:r>
    </w:p>
    <w:p>
      <w:r>
        <w:rPr>
          <w:rFonts w:ascii="Georgia" w:hAnsi="Georgia"/>
          <w:sz w:val="19"/>
        </w:rPr>
        <w:t>Janela analítica: AC 2019 — AC 2024 · Autos: 1006744-58.2023.8.26.0011 · 1ª VF Pinheiros/SP · Eixo: Ari Gorenstein (CPF 136.447.108-64) · Data: 14/06/2026</w:t>
      </w:r>
    </w:p>
    <w:p>
      <w:pPr>
        <w:pStyle w:val="Heading1"/>
      </w:pPr>
      <w:r>
        <w:rPr>
          <w:rFonts w:ascii="Helvetica" w:hAnsi="Helvetica"/>
          <w:color w:val="5B1A1A"/>
        </w:rPr>
        <w:t>I. Síntese executiva</w:t>
      </w:r>
    </w:p>
    <w:p>
      <w:r>
        <w:rPr>
          <w:rFonts w:ascii="Georgia" w:hAnsi="Georgia"/>
          <w:sz w:val="21"/>
        </w:rPr>
        <w:t>O presente Documento 28 entrega, em forma única e auditável, o cruzamento temporal multi-ano entre (i) as DIRPFs do Requerido Ari Gorenstein (CPF 136.447.108-64) relativas aos anos-calendário 2019, 2020, 2021 e 2023; e (ii) os atos societários, subscrições, debêntures, alterações estatutárias, acordos de cotistas e fluxos de capital identificados nos Documentos 22-27.</w:t>
      </w:r>
    </w:p>
    <w:p>
      <w:r>
        <w:rPr>
          <w:rFonts w:ascii="Georgia" w:hAnsi="Georgia"/>
          <w:sz w:val="21"/>
        </w:rPr>
        <w:t>Tese central. A evolução patrimonial declarada do Requerido apresenta três pontos de inflexão temporais que coincidem com atos societários específicos do polo controlador-investidor: (a) 2020, com aparição súbita do mútuo de R$ 1.251.857,00 recebido de Jerson Prochnow, cotista do Ajaccio FIP; (b) 2021, com a contratação da dívida de €2.276.136 junto à Wine in Black GmbH (Berlim) em 22/06/2021; e (c) 2023, com a liquidação dessa dívida e a aparição declarada da titularidade de cotas Classe A e Classe F do Ajaccio FIP no patrimônio do Requerido. Em tese, esses três pontos configuram fluxos circulares de capital entre PFs e PJs do mesmo ecossistema.</w:t>
      </w:r>
    </w:p>
    <w:p>
      <w:pPr>
        <w:pStyle w:val="Heading1"/>
      </w:pPr>
      <w:r>
        <w:rPr>
          <w:rFonts w:ascii="Helvetica" w:hAnsi="Helvetica"/>
          <w:color w:val="5B1A1A"/>
        </w:rPr>
        <w:t>II. Quadro temporal consolidado · evolução patrimonial 2019-2024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Ano</w:t>
            </w:r>
          </w:p>
        </w:tc>
        <w:tc>
          <w:tcPr>
            <w:tcW w:type="dxa" w:w="1662"/>
          </w:tcPr>
          <w:p>
            <w:r>
              <w:t>Bens (R$)</w:t>
            </w:r>
          </w:p>
        </w:tc>
        <w:tc>
          <w:tcPr>
            <w:tcW w:type="dxa" w:w="1662"/>
          </w:tcPr>
          <w:p>
            <w:r>
              <w:t>Δ anual</w:t>
            </w:r>
          </w:p>
        </w:tc>
        <w:tc>
          <w:tcPr>
            <w:tcW w:type="dxa" w:w="1662"/>
          </w:tcPr>
          <w:p>
            <w:r>
              <w:t>Rend. trib.</w:t>
            </w:r>
          </w:p>
        </w:tc>
        <w:tc>
          <w:tcPr>
            <w:tcW w:type="dxa" w:w="1662"/>
          </w:tcPr>
          <w:p>
            <w:r>
              <w:t>Rend. isentos</w:t>
            </w:r>
          </w:p>
        </w:tc>
        <w:tc>
          <w:tcPr>
            <w:tcW w:type="dxa" w:w="1662"/>
          </w:tcPr>
          <w:p>
            <w:r>
              <w:t>Dívidas/contexto</w:t>
            </w:r>
          </w:p>
        </w:tc>
      </w:tr>
      <w:tr>
        <w:tc>
          <w:tcPr>
            <w:tcW w:type="dxa" w:w="1662"/>
          </w:tcPr>
          <w:p>
            <w:r>
              <w:t>2019</w:t>
            </w:r>
          </w:p>
        </w:tc>
        <w:tc>
          <w:tcPr>
            <w:tcW w:type="dxa" w:w="1662"/>
          </w:tcPr>
          <w:p>
            <w:r>
              <w:t>3.015.323,73</w:t>
            </w:r>
          </w:p>
        </w:tc>
        <w:tc>
          <w:tcPr>
            <w:tcW w:type="dxa" w:w="1662"/>
          </w:tcPr>
          <w:p>
            <w:r>
              <w:t>—</w:t>
            </w:r>
          </w:p>
        </w:tc>
        <w:tc>
          <w:tcPr>
            <w:tcW w:type="dxa" w:w="1662"/>
          </w:tcPr>
          <w:p>
            <w:r>
              <w:t>n/d</w:t>
            </w:r>
          </w:p>
        </w:tc>
        <w:tc>
          <w:tcPr>
            <w:tcW w:type="dxa" w:w="1662"/>
          </w:tcPr>
          <w:p>
            <w:r>
              <w:t>n/d</w:t>
            </w:r>
          </w:p>
        </w:tc>
        <w:tc>
          <w:tcPr>
            <w:tcW w:type="dxa" w:w="1662"/>
          </w:tcPr>
          <w:p>
            <w:r>
              <w:t>sem mútuo Prochnow</w:t>
            </w:r>
          </w:p>
        </w:tc>
      </w:tr>
      <w:tr>
        <w:tc>
          <w:tcPr>
            <w:tcW w:type="dxa" w:w="1662"/>
          </w:tcPr>
          <w:p>
            <w:r>
              <w:t>2020</w:t>
            </w:r>
          </w:p>
        </w:tc>
        <w:tc>
          <w:tcPr>
            <w:tcW w:type="dxa" w:w="1662"/>
          </w:tcPr>
          <w:p>
            <w:r>
              <w:t>4.802.951,80</w:t>
            </w:r>
          </w:p>
        </w:tc>
        <w:tc>
          <w:tcPr>
            <w:tcW w:type="dxa" w:w="1662"/>
          </w:tcPr>
          <w:p>
            <w:r>
              <w:t>+1.787.628</w:t>
            </w:r>
          </w:p>
        </w:tc>
        <w:tc>
          <w:tcPr>
            <w:tcW w:type="dxa" w:w="1662"/>
          </w:tcPr>
          <w:p>
            <w:r>
              <w:t>12.534 (E-Vino)</w:t>
            </w:r>
          </w:p>
        </w:tc>
        <w:tc>
          <w:tcPr>
            <w:tcW w:type="dxa" w:w="1662"/>
          </w:tcPr>
          <w:p>
            <w:r>
              <w:t>930.000 (Apoio Adm)</w:t>
            </w:r>
          </w:p>
        </w:tc>
        <w:tc>
          <w:tcPr>
            <w:tcW w:type="dxa" w:w="1662"/>
          </w:tcPr>
          <w:p>
            <w:r>
              <w:t>+ Mútuo Prochnow R$ 1,25 MM</w:t>
            </w:r>
          </w:p>
        </w:tc>
      </w:tr>
      <w:tr>
        <w:tc>
          <w:tcPr>
            <w:tcW w:type="dxa" w:w="1662"/>
          </w:tcPr>
          <w:p>
            <w:r>
              <w:t>2021</w:t>
            </w:r>
          </w:p>
        </w:tc>
        <w:tc>
          <w:tcPr>
            <w:tcW w:type="dxa" w:w="1662"/>
          </w:tcPr>
          <w:p>
            <w:r>
              <w:t>a apurar</w:t>
            </w:r>
          </w:p>
        </w:tc>
        <w:tc>
          <w:tcPr>
            <w:tcW w:type="dxa" w:w="1662"/>
          </w:tcPr>
          <w:p>
            <w:r>
              <w:t>—</w:t>
            </w:r>
          </w:p>
        </w:tc>
        <w:tc>
          <w:tcPr>
            <w:tcW w:type="dxa" w:w="1662"/>
          </w:tcPr>
          <w:p>
            <w:r>
              <w:t>26.400 (E-Vino)</w:t>
            </w:r>
          </w:p>
        </w:tc>
        <w:tc>
          <w:tcPr>
            <w:tcW w:type="dxa" w:w="1662"/>
          </w:tcPr>
          <w:p>
            <w:r>
              <w:t>a apurar</w:t>
            </w:r>
          </w:p>
        </w:tc>
        <w:tc>
          <w:tcPr>
            <w:tcW w:type="dxa" w:w="1662"/>
          </w:tcPr>
          <w:p>
            <w:r>
              <w:t>+ Dívida WIB €2,276 MM (22/06/2021)</w:t>
            </w:r>
          </w:p>
        </w:tc>
      </w:tr>
      <w:tr>
        <w:tc>
          <w:tcPr>
            <w:tcW w:type="dxa" w:w="1662"/>
          </w:tcPr>
          <w:p>
            <w:r>
              <w:t>2022</w:t>
            </w:r>
          </w:p>
        </w:tc>
        <w:tc>
          <w:tcPr>
            <w:tcW w:type="dxa" w:w="1662"/>
          </w:tcPr>
          <w:p>
            <w:r>
              <w:t>8,47 → 32,23 MM</w:t>
            </w:r>
          </w:p>
        </w:tc>
        <w:tc>
          <w:tcPr>
            <w:tcW w:type="dxa" w:w="1662"/>
          </w:tcPr>
          <w:p>
            <w:r>
              <w:t>salto</w:t>
            </w:r>
          </w:p>
        </w:tc>
        <w:tc>
          <w:tcPr>
            <w:tcW w:type="dxa" w:w="1662"/>
          </w:tcPr>
          <w:p>
            <w:r>
              <w:t>a apurar</w:t>
            </w:r>
          </w:p>
        </w:tc>
        <w:tc>
          <w:tcPr>
            <w:tcW w:type="dxa" w:w="1662"/>
          </w:tcPr>
          <w:p>
            <w:r>
              <w:t>a apurar</w:t>
            </w:r>
          </w:p>
        </w:tc>
        <w:tc>
          <w:tcPr>
            <w:tcW w:type="dxa" w:w="1662"/>
          </w:tcPr>
          <w:p>
            <w:r>
              <w:t>WIB ainda passiva</w:t>
            </w:r>
          </w:p>
        </w:tc>
      </w:tr>
      <w:tr>
        <w:tc>
          <w:tcPr>
            <w:tcW w:type="dxa" w:w="1662"/>
          </w:tcPr>
          <w:p>
            <w:r>
              <w:t>2023</w:t>
            </w:r>
          </w:p>
        </w:tc>
        <w:tc>
          <w:tcPr>
            <w:tcW w:type="dxa" w:w="1662"/>
          </w:tcPr>
          <w:p>
            <w:r>
              <w:t>≈ 25,8 MM</w:t>
            </w:r>
          </w:p>
        </w:tc>
        <w:tc>
          <w:tcPr>
            <w:tcW w:type="dxa" w:w="1662"/>
          </w:tcPr>
          <w:p>
            <w:r>
              <w:t>—</w:t>
            </w:r>
          </w:p>
        </w:tc>
        <w:tc>
          <w:tcPr>
            <w:tcW w:type="dxa" w:w="1662"/>
          </w:tcPr>
          <w:p>
            <w:r>
              <w:t>≈ 33.000</w:t>
            </w:r>
          </w:p>
        </w:tc>
        <w:tc>
          <w:tcPr>
            <w:tcW w:type="dxa" w:w="1662"/>
          </w:tcPr>
          <w:p>
            <w:r>
              <w:t>a apurar</w:t>
            </w:r>
          </w:p>
        </w:tc>
        <w:tc>
          <w:tcPr>
            <w:tcW w:type="dxa" w:w="1662"/>
          </w:tcPr>
          <w:p>
            <w:r>
              <w:t>Dívida WIB liquidada</w:t>
            </w:r>
          </w:p>
        </w:tc>
      </w:tr>
    </w:tbl>
    <w:p>
      <w:pPr>
        <w:pStyle w:val="Heading1"/>
      </w:pPr>
      <w:r>
        <w:rPr>
          <w:rFonts w:ascii="Helvetica" w:hAnsi="Helvetica"/>
          <w:color w:val="5B1A1A"/>
        </w:rPr>
        <w:t>III. DIRPF AC 2020 — anatomia da virada patrimonial</w:t>
      </w:r>
    </w:p>
    <w:p>
      <w:pPr>
        <w:pStyle w:val="Heading2"/>
      </w:pPr>
      <w:r>
        <w:rPr>
          <w:rFonts w:ascii="Helvetica" w:hAnsi="Helvetica"/>
          <w:color w:val="5B1A1A"/>
        </w:rPr>
        <w:t>III.1. Identificação</w:t>
      </w:r>
    </w:p>
    <w:p>
      <w:r>
        <w:rPr>
          <w:rFonts w:ascii="Georgia" w:hAnsi="Georgia"/>
          <w:sz w:val="21"/>
        </w:rPr>
        <w:t>Declarante: ARI GORENSTEIN · CPF 136.447.108-64 · Modelo SIMPLIFICADO · Casado com CPF 006.064.549-00 (Millena) · Entrega 28/05/2021 · ND 08/25.945.445 · Controle 759048374616320 · Endereço Rua Joaquim Antunes 865 Apto 23 · Pinheiros · SP · CEP 05415-012 · e-mail ARI@EVINO.COM.BR · fone (11) 98157-5784 · Dependentes Caio (03/01/2014, CPF 495.017.298-00) e Maia (10/06/2016, CPF 565.917.088-98).</w:t>
      </w:r>
    </w:p>
    <w:p>
      <w:pPr>
        <w:pStyle w:val="Heading2"/>
      </w:pPr>
      <w:r>
        <w:rPr>
          <w:rFonts w:ascii="Helvetica" w:hAnsi="Helvetica"/>
          <w:color w:val="5B1A1A"/>
        </w:rPr>
        <w:t>III.2. Mútuo Prochnow</w:t>
      </w:r>
    </w:p>
    <w:p>
      <w:r>
        <w:rPr>
          <w:rFonts w:ascii="Georgia" w:hAnsi="Georgia"/>
          <w:b/>
          <w:sz w:val="21"/>
        </w:rPr>
        <w:t>Credor: Jerson Prochnow · CPF 533.312.300-49 · RG 1042436061 SSP/RS · brasileiro, casado · Rua Borges Lagoa 1246 Apto 141 · São Paulo · CEP 04038-003.</w:t>
      </w:r>
    </w:p>
    <w:p>
      <w:r>
        <w:rPr>
          <w:rFonts w:ascii="Georgia" w:hAnsi="Georgia"/>
          <w:sz w:val="21"/>
        </w:rPr>
        <w:t>Valor 31/12/2020: R$ 1.251.857,00 (era R$ 0,00 em 31/12/2019) · Pago em 2020: R$ 0,00 · Sem prazo, sem juros, sem garantia documental.</w:t>
      </w:r>
    </w:p>
    <w:p>
      <w:r>
        <w:rPr>
          <w:rFonts w:ascii="Georgia" w:hAnsi="Georgia"/>
          <w:sz w:val="21"/>
        </w:rPr>
        <w:t>Cruzamento: Prochnow é cotista do Ajaccio FIP (Acordo de Cotistas 25/05/2022), confirmado por sete critérios de identidade — nome, CPF, RG, endereço, estado civil, vínculo histórico e participação na arquitetura E-Vino. Em tese, sob CC art. 1.658, 167, 50 e CPC art. 792 IV — circulação intra-grupo / aporte disfarçado, sujeito à valoração penal pela autoridade competente.</w:t>
      </w:r>
    </w:p>
    <w:p>
      <w:pPr>
        <w:pStyle w:val="Heading2"/>
      </w:pPr>
      <w:r>
        <w:rPr>
          <w:rFonts w:ascii="Helvetica" w:hAnsi="Helvetica"/>
          <w:color w:val="5B1A1A"/>
        </w:rPr>
        <w:t>III.3. Lucros Apoio Administrativo</w:t>
      </w:r>
    </w:p>
    <w:p>
      <w:r>
        <w:rPr>
          <w:rFonts w:ascii="Georgia" w:hAnsi="Georgia"/>
          <w:sz w:val="21"/>
        </w:rPr>
        <w:t>Lucros isentos: R$ 930.000,00 da Ari Gorenstein Apoio Administrativo Ltda (CNPJ 17.867.118/0001-14). Rend. tributáveis E-Vino: R$ 12.534,00. Razão lucros/tributáveis ≈ 74×. Compatível, em tese, com modelagem de blindagem patrimonial pré-divórcio.</w:t>
      </w:r>
    </w:p>
    <w:p>
      <w:pPr>
        <w:pStyle w:val="Heading2"/>
      </w:pPr>
      <w:r>
        <w:rPr>
          <w:rFonts w:ascii="Helvetica" w:hAnsi="Helvetica"/>
          <w:color w:val="5B1A1A"/>
        </w:rPr>
        <w:t>III.4. Composição patrimonial 31/12/2020</w:t>
      </w:r>
    </w:p>
    <w:p>
      <w:r>
        <w:rPr>
          <w:rFonts w:ascii="Georgia" w:hAnsi="Georgia"/>
          <w:sz w:val="21"/>
        </w:rPr>
        <w:t>Imóveis: Apto Pinheiros 603 Apto 41 R$ 1.103.604,43; Apto Joaquim Antunes 865 Apto 23 R$ 600.000 (residência, adq. 24/05/2013, matrícula 32.673).</w:t>
      </w:r>
    </w:p>
    <w:p>
      <w:r>
        <w:rPr>
          <w:rFonts w:ascii="Georgia" w:hAnsi="Georgia"/>
          <w:sz w:val="21"/>
        </w:rPr>
        <w:t>Aplicações financeiras Itaú: RDB/CDB R$ 365.392,75 (era R$ 794,10 em 2019); Títulos Públicos R$ 249.506,61; CDB Terceiros Itau Corretora R$ 346.000; Debênture Infraestrutura R$ 49.329,49; CRA R$ 48.927,90; conta corrente Ag 6560 Cta 07391-5 R$ 0,00.</w:t>
      </w:r>
    </w:p>
    <w:p>
      <w:r>
        <w:rPr>
          <w:rFonts w:ascii="Georgia" w:hAnsi="Georgia"/>
          <w:sz w:val="21"/>
        </w:rPr>
        <w:t>Fundos abertos Itaú (cód. 72/74): Kinea Chronos R$ 230.881; Personnalité Seleção MM R$ 100.605; Equitas R$ 150.000; Legacy Capital R$ 215.130; OCCAM R$ 200.276; A1 Hedge R$ 200.157; Kadima R$ 166.000; Dahlia R$ 115.000; Index Juros Reais R$ 55.591.</w:t>
      </w:r>
    </w:p>
    <w:p>
      <w:r>
        <w:rPr>
          <w:rFonts w:ascii="Georgia" w:hAnsi="Georgia"/>
          <w:sz w:val="21"/>
        </w:rPr>
        <w:t>Ações: ITUB4, BBDC4, BBAS3, B3SA3, ITSA4, ABEV3, LREN3, MGLU3, BRFS3, CRFB3, JBSS3, MRFG3, BEEF3 e ≈40 demais. FIIs: KNIP11 R$ 107.970, KFOF11 R$ 66.657, HSLG11 R$ 9.604, XPLG11 R$ 3.816. Total aplicações ≈ R$ 3,10 MM. Total patrimônio declarado: R$ 4,80 MM.</w:t>
      </w:r>
    </w:p>
    <w:p>
      <w:pPr>
        <w:pStyle w:val="Heading1"/>
      </w:pPr>
      <w:r>
        <w:rPr>
          <w:rFonts w:ascii="Helvetica" w:hAnsi="Helvetica"/>
          <w:color w:val="5B1A1A"/>
        </w:rPr>
        <w:t>IV. DIRPF AC 2021 — ano-charneira cross-border</w:t>
      </w:r>
    </w:p>
    <w:p>
      <w:r>
        <w:rPr>
          <w:rFonts w:ascii="Georgia" w:hAnsi="Georgia"/>
          <w:sz w:val="21"/>
        </w:rPr>
        <w:t>Retificadora Nº 001 · entrega 31/05/2022 · ND 08/72.371.886 · recibo 41.50.59.39.89-58. Endereço migrado para Rua Bela Cintra 986 (sede atual E-Vino). Rendimentos tributáveis: R$ 26.400,00. IR devido: R$ 0,00.</w:t>
      </w:r>
    </w:p>
    <w:p>
      <w:r>
        <w:rPr>
          <w:rFonts w:ascii="Georgia" w:hAnsi="Georgia"/>
          <w:sz w:val="21"/>
        </w:rPr>
        <w:t>Cruzamento Doc 26: em 22/06/2021 o Requerido contrai dívida de €2.276.136 ≈ R$ 13,47 MM junto à Wine in Black GmbH (Berlim) — instrumento confirmado na DIRPF AC 2023. Ano-charneira do eixo Berlim-Brasil.</w:t>
      </w:r>
    </w:p>
    <w:p>
      <w:pPr>
        <w:pStyle w:val="Heading1"/>
      </w:pPr>
      <w:r>
        <w:rPr>
          <w:rFonts w:ascii="Helvetica" w:hAnsi="Helvetica"/>
          <w:color w:val="5B1A1A"/>
        </w:rPr>
        <w:t>V. DIRPF AC 2023 — patrimônio reestruturado</w:t>
      </w:r>
    </w:p>
    <w:p>
      <w:r>
        <w:rPr>
          <w:rFonts w:ascii="Georgia" w:hAnsi="Georgia"/>
          <w:sz w:val="21"/>
        </w:rPr>
        <w:t>Bens R$ 25,8 MM. Cotas Ajaccio A+F ≈ R$ 11,22 MM (43,5%). Dívida WIB liquidada antes de 31/12/2023. Rendimentos E-Vino ≈ R$ 33 mil/ano. Detalhes integrais no Doc 26.</w:t>
      </w:r>
    </w:p>
    <w:p>
      <w:pPr>
        <w:pStyle w:val="Heading1"/>
      </w:pPr>
      <w:r>
        <w:rPr>
          <w:rFonts w:ascii="Helvetica" w:hAnsi="Helvetica"/>
          <w:color w:val="5B1A1A"/>
        </w:rPr>
        <w:t>VI. Matriz temporal de cruzamento (DIRPF × Atos societários)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Ano</w:t>
            </w:r>
          </w:p>
        </w:tc>
        <w:tc>
          <w:tcPr>
            <w:tcW w:type="dxa" w:w="3324"/>
          </w:tcPr>
          <w:p>
            <w:r>
              <w:t>PF (DIRPF)</w:t>
            </w:r>
          </w:p>
        </w:tc>
        <w:tc>
          <w:tcPr>
            <w:tcW w:type="dxa" w:w="3324"/>
          </w:tcPr>
          <w:p>
            <w:r>
              <w:t>Ato societário correspondente</w:t>
            </w:r>
          </w:p>
        </w:tc>
      </w:tr>
      <w:tr>
        <w:tc>
          <w:tcPr>
            <w:tcW w:type="dxa" w:w="3324"/>
          </w:tcPr>
          <w:p>
            <w:r>
              <w:t>2020</w:t>
            </w:r>
          </w:p>
        </w:tc>
        <w:tc>
          <w:tcPr>
            <w:tcW w:type="dxa" w:w="3324"/>
          </w:tcPr>
          <w:p>
            <w:r>
              <w:t>Mútuo Prochnow R$ 1,25 MM; lucros Apoio R$ 930 k</w:t>
            </w:r>
          </w:p>
        </w:tc>
        <w:tc>
          <w:tcPr>
            <w:tcW w:type="dxa" w:w="3324"/>
          </w:tcPr>
          <w:p>
            <w:r>
              <w:t>Preparação Acordo Cotistas Ajaccio (assinado 25/05/2022)</w:t>
            </w:r>
          </w:p>
        </w:tc>
      </w:tr>
      <w:tr>
        <w:tc>
          <w:tcPr>
            <w:tcW w:type="dxa" w:w="3324"/>
          </w:tcPr>
          <w:p>
            <w:r>
              <w:t>2021</w:t>
            </w:r>
          </w:p>
        </w:tc>
        <w:tc>
          <w:tcPr>
            <w:tcW w:type="dxa" w:w="3324"/>
          </w:tcPr>
          <w:p>
            <w:r>
              <w:t>Endereço migra Bela Cintra 986; salário R$ 26,4 k; dívida WIB €2,276 MM (22/06/2021)</w:t>
            </w:r>
          </w:p>
        </w:tc>
        <w:tc>
          <w:tcPr>
            <w:tcW w:type="dxa" w:w="3324"/>
          </w:tcPr>
          <w:p>
            <w:r>
              <w:t>Captação cross-border via Wine in Black GmbH (Berlim)</w:t>
            </w:r>
          </w:p>
        </w:tc>
      </w:tr>
      <w:tr>
        <w:tc>
          <w:tcPr>
            <w:tcW w:type="dxa" w:w="3324"/>
          </w:tcPr>
          <w:p>
            <w:r>
              <w:t>2022</w:t>
            </w:r>
          </w:p>
        </w:tc>
        <w:tc>
          <w:tcPr>
            <w:tcW w:type="dxa" w:w="3324"/>
          </w:tcPr>
          <w:p>
            <w:r>
              <w:t>Salto patrimonial R$ 8,47 → 32,23 MM</w:t>
            </w:r>
          </w:p>
        </w:tc>
        <w:tc>
          <w:tcPr>
            <w:tcW w:type="dxa" w:w="3324"/>
          </w:tcPr>
          <w:p>
            <w:r>
              <w:t>25/05/2022 Acordo Cotistas Ajaccio FIP — reorg CapTable A/F</w:t>
            </w:r>
          </w:p>
        </w:tc>
      </w:tr>
      <w:tr>
        <w:tc>
          <w:tcPr>
            <w:tcW w:type="dxa" w:w="3324"/>
          </w:tcPr>
          <w:p>
            <w:r>
              <w:t>2023</w:t>
            </w:r>
          </w:p>
        </w:tc>
        <w:tc>
          <w:tcPr>
            <w:tcW w:type="dxa" w:w="3324"/>
          </w:tcPr>
          <w:p>
            <w:r>
              <w:t>WIB liquidada; Ajaccio A+F declarada</w:t>
            </w:r>
          </w:p>
        </w:tc>
        <w:tc>
          <w:tcPr>
            <w:tcW w:type="dxa" w:w="3324"/>
          </w:tcPr>
          <w:p>
            <w:r>
              <w:t>10/01/2023 divórcio; 02/05/2023 SISBAJUD R$ 42,4 MM; 18/05/2023 reiterado R$ 84,86 MM; 05/09/2023 distrato RT 127</w:t>
            </w:r>
          </w:p>
        </w:tc>
      </w:tr>
      <w:tr>
        <w:tc>
          <w:tcPr>
            <w:tcW w:type="dxa" w:w="3324"/>
          </w:tcPr>
          <w:p>
            <w:r>
              <w:t>2024-25</w:t>
            </w:r>
          </w:p>
        </w:tc>
        <w:tc>
          <w:tcPr>
            <w:tcW w:type="dxa" w:w="3324"/>
          </w:tcPr>
          <w:p>
            <w:r>
              <w:t>Patrimônio mantido</w:t>
            </w:r>
          </w:p>
        </w:tc>
        <w:tc>
          <w:tcPr>
            <w:tcW w:type="dxa" w:w="3324"/>
          </w:tcPr>
          <w:p>
            <w:r>
              <w:t>19 atos societários durante penhora (Doc 27); SISBAJUD Oslo R$ 27.799,79 em 31/03/2026</w:t>
            </w:r>
          </w:p>
        </w:tc>
      </w:tr>
    </w:tbl>
    <w:p>
      <w:pPr>
        <w:pStyle w:val="Heading1"/>
      </w:pPr>
      <w:r>
        <w:rPr>
          <w:rFonts w:ascii="Helvetica" w:hAnsi="Helvetica"/>
          <w:color w:val="5B1A1A"/>
        </w:rPr>
        <w:t>VII. Credores, garantidores e contrapartes identificadas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Contraparte</w:t>
            </w:r>
          </w:p>
        </w:tc>
        <w:tc>
          <w:tcPr>
            <w:tcW w:type="dxa" w:w="2493"/>
          </w:tcPr>
          <w:p>
            <w:r>
              <w:t>Tipo</w:t>
            </w:r>
          </w:p>
        </w:tc>
        <w:tc>
          <w:tcPr>
            <w:tcW w:type="dxa" w:w="2493"/>
          </w:tcPr>
          <w:p>
            <w:r>
              <w:t>Fluxo</w:t>
            </w:r>
          </w:p>
        </w:tc>
        <w:tc>
          <w:tcPr>
            <w:tcW w:type="dxa" w:w="2493"/>
          </w:tcPr>
          <w:p>
            <w:r>
              <w:t>Janela</w:t>
            </w:r>
          </w:p>
        </w:tc>
      </w:tr>
      <w:tr>
        <w:tc>
          <w:tcPr>
            <w:tcW w:type="dxa" w:w="2493"/>
          </w:tcPr>
          <w:p>
            <w:r>
              <w:t>Jerson Prochnow (CPF 533.312.300-49)</w:t>
            </w:r>
          </w:p>
        </w:tc>
        <w:tc>
          <w:tcPr>
            <w:tcW w:type="dxa" w:w="2493"/>
          </w:tcPr>
          <w:p>
            <w:r>
              <w:t>Credor PF (mútuo)</w:t>
            </w:r>
          </w:p>
        </w:tc>
        <w:tc>
          <w:tcPr>
            <w:tcW w:type="dxa" w:w="2493"/>
          </w:tcPr>
          <w:p>
            <w:r>
              <w:t>R$ 1.251.857 → PF Ari</w:t>
            </w:r>
          </w:p>
        </w:tc>
        <w:tc>
          <w:tcPr>
            <w:tcW w:type="dxa" w:w="2493"/>
          </w:tcPr>
          <w:p>
            <w:r>
              <w:t>2020</w:t>
            </w:r>
          </w:p>
        </w:tc>
      </w:tr>
      <w:tr>
        <w:tc>
          <w:tcPr>
            <w:tcW w:type="dxa" w:w="2493"/>
          </w:tcPr>
          <w:p>
            <w:r>
              <w:t>Apoio Administrativo (17.867.118/0001-14)</w:t>
            </w:r>
          </w:p>
        </w:tc>
        <w:tc>
          <w:tcPr>
            <w:tcW w:type="dxa" w:w="2493"/>
          </w:tcPr>
          <w:p>
            <w:r>
              <w:t>Distrib. lucros</w:t>
            </w:r>
          </w:p>
        </w:tc>
        <w:tc>
          <w:tcPr>
            <w:tcW w:type="dxa" w:w="2493"/>
          </w:tcPr>
          <w:p>
            <w:r>
              <w:t>R$ 930k → PF Ari</w:t>
            </w:r>
          </w:p>
        </w:tc>
        <w:tc>
          <w:tcPr>
            <w:tcW w:type="dxa" w:w="2493"/>
          </w:tcPr>
          <w:p>
            <w:r>
              <w:t>2020-...</w:t>
            </w:r>
          </w:p>
        </w:tc>
      </w:tr>
      <w:tr>
        <w:tc>
          <w:tcPr>
            <w:tcW w:type="dxa" w:w="2493"/>
          </w:tcPr>
          <w:p>
            <w:r>
              <w:t>Wine in Black GmbH/UG (Berlim)</w:t>
            </w:r>
          </w:p>
        </w:tc>
        <w:tc>
          <w:tcPr>
            <w:tcW w:type="dxa" w:w="2493"/>
          </w:tcPr>
          <w:p>
            <w:r>
              <w:t>Credor PJ cross-border</w:t>
            </w:r>
          </w:p>
        </w:tc>
        <w:tc>
          <w:tcPr>
            <w:tcW w:type="dxa" w:w="2493"/>
          </w:tcPr>
          <w:p>
            <w:r>
              <w:t>€2,276 MM ≈ R$ 13,47 MM</w:t>
            </w:r>
          </w:p>
        </w:tc>
        <w:tc>
          <w:tcPr>
            <w:tcW w:type="dxa" w:w="2493"/>
          </w:tcPr>
          <w:p>
            <w:r>
              <w:t>22/06/2021 – ≤ 31/12/2023</w:t>
            </w:r>
          </w:p>
        </w:tc>
      </w:tr>
      <w:tr>
        <w:tc>
          <w:tcPr>
            <w:tcW w:type="dxa" w:w="2493"/>
          </w:tcPr>
          <w:p>
            <w:r>
              <w:t>Ajaccio FIP Classe A+F</w:t>
            </w:r>
          </w:p>
        </w:tc>
        <w:tc>
          <w:tcPr>
            <w:tcW w:type="dxa" w:w="2493"/>
          </w:tcPr>
          <w:p>
            <w:r>
              <w:t>Veículo investimento</w:t>
            </w:r>
          </w:p>
        </w:tc>
        <w:tc>
          <w:tcPr>
            <w:tcW w:type="dxa" w:w="2493"/>
          </w:tcPr>
          <w:p>
            <w:r>
              <w:t>R$ 11,22 MM</w:t>
            </w:r>
          </w:p>
        </w:tc>
        <w:tc>
          <w:tcPr>
            <w:tcW w:type="dxa" w:w="2493"/>
          </w:tcPr>
          <w:p>
            <w:r>
              <w:t>≥ 2023</w:t>
            </w:r>
          </w:p>
        </w:tc>
      </w:tr>
      <w:tr>
        <w:tc>
          <w:tcPr>
            <w:tcW w:type="dxa" w:w="2493"/>
          </w:tcPr>
          <w:p>
            <w:r>
              <w:t>Bonifácio FIP</w:t>
            </w:r>
          </w:p>
        </w:tc>
        <w:tc>
          <w:tcPr>
            <w:tcW w:type="dxa" w:w="2493"/>
          </w:tcPr>
          <w:p>
            <w:r>
              <w:t>Veículo correlato</w:t>
            </w:r>
          </w:p>
        </w:tc>
        <w:tc>
          <w:tcPr>
            <w:tcW w:type="dxa" w:w="2493"/>
          </w:tcPr>
          <w:p>
            <w:r>
              <w:t>cap table Doc 23</w:t>
            </w:r>
          </w:p>
        </w:tc>
        <w:tc>
          <w:tcPr>
            <w:tcW w:type="dxa" w:w="2493"/>
          </w:tcPr>
          <w:p>
            <w:r>
              <w:t>contínuo</w:t>
            </w:r>
          </w:p>
        </w:tc>
      </w:tr>
      <w:tr>
        <w:tc>
          <w:tcPr>
            <w:tcW w:type="dxa" w:w="2493"/>
          </w:tcPr>
          <w:p>
            <w:r>
              <w:t>Vinci Capital Gestora</w:t>
            </w:r>
          </w:p>
        </w:tc>
        <w:tc>
          <w:tcPr>
            <w:tcW w:type="dxa" w:w="2493"/>
          </w:tcPr>
          <w:p>
            <w:r>
              <w:t>Gestora</w:t>
            </w:r>
          </w:p>
        </w:tc>
        <w:tc>
          <w:tcPr>
            <w:tcW w:type="dxa" w:w="2493"/>
          </w:tcPr>
          <w:p>
            <w:r>
              <w:t>Ajaccio + Bonifácio</w:t>
            </w:r>
          </w:p>
        </w:tc>
        <w:tc>
          <w:tcPr>
            <w:tcW w:type="dxa" w:w="2493"/>
          </w:tcPr>
          <w:p>
            <w:r>
              <w:t>contínuo</w:t>
            </w:r>
          </w:p>
        </w:tc>
      </w:tr>
      <w:tr>
        <w:tc>
          <w:tcPr>
            <w:tcW w:type="dxa" w:w="2493"/>
          </w:tcPr>
          <w:p>
            <w:r>
              <w:t>Marcos Leonel Leal</w:t>
            </w:r>
          </w:p>
        </w:tc>
        <w:tc>
          <w:tcPr>
            <w:tcW w:type="dxa" w:w="2493"/>
          </w:tcPr>
          <w:p>
            <w:r>
              <w:t>Co-administrador</w:t>
            </w:r>
          </w:p>
        </w:tc>
        <w:tc>
          <w:tcPr>
            <w:tcW w:type="dxa" w:w="2493"/>
          </w:tcPr>
          <w:p>
            <w:r>
              <w:t>onipresente RCAs/AGEs</w:t>
            </w:r>
          </w:p>
        </w:tc>
        <w:tc>
          <w:tcPr>
            <w:tcW w:type="dxa" w:w="2493"/>
          </w:tcPr>
          <w:p>
            <w:r>
              <w:t>2017-2025</w:t>
            </w:r>
          </w:p>
        </w:tc>
      </w:tr>
      <w:tr>
        <w:tc>
          <w:tcPr>
            <w:tcW w:type="dxa" w:w="2493"/>
          </w:tcPr>
          <w:p>
            <w:r>
              <w:t>Itaú BBA / Corretora</w:t>
            </w:r>
          </w:p>
        </w:tc>
        <w:tc>
          <w:tcPr>
            <w:tcW w:type="dxa" w:w="2493"/>
          </w:tcPr>
          <w:p>
            <w:r>
              <w:t>Custodiante</w:t>
            </w:r>
          </w:p>
        </w:tc>
        <w:tc>
          <w:tcPr>
            <w:tcW w:type="dxa" w:w="2493"/>
          </w:tcPr>
          <w:p>
            <w:r>
              <w:t>RDB/CDB, fundos, ações</w:t>
            </w:r>
          </w:p>
        </w:tc>
        <w:tc>
          <w:tcPr>
            <w:tcW w:type="dxa" w:w="2493"/>
          </w:tcPr>
          <w:p>
            <w:r>
              <w:t>contínuo</w:t>
            </w:r>
          </w:p>
        </w:tc>
      </w:tr>
      <w:tr>
        <w:tc>
          <w:tcPr>
            <w:tcW w:type="dxa" w:w="2493"/>
          </w:tcPr>
          <w:p>
            <w:r>
              <w:t>BTG Pactual</w:t>
            </w:r>
          </w:p>
        </w:tc>
        <w:tc>
          <w:tcPr>
            <w:tcW w:type="dxa" w:w="2493"/>
          </w:tcPr>
          <w:p>
            <w:r>
              <w:t>Custodiante</w:t>
            </w:r>
          </w:p>
        </w:tc>
        <w:tc>
          <w:tcPr>
            <w:tcW w:type="dxa" w:w="2493"/>
          </w:tcPr>
          <w:p>
            <w:r>
              <w:t>R$ 31.925.193,31 Ag.0001 Cta.110486</w:t>
            </w:r>
          </w:p>
        </w:tc>
        <w:tc>
          <w:tcPr>
            <w:tcW w:type="dxa" w:w="2493"/>
          </w:tcPr>
          <w:p>
            <w:r>
              <w:t>2023 – inexec. 33+ meses</w:t>
            </w:r>
          </w:p>
        </w:tc>
      </w:tr>
      <w:tr>
        <w:tc>
          <w:tcPr>
            <w:tcW w:type="dxa" w:w="2493"/>
          </w:tcPr>
          <w:p>
            <w:r>
              <w:t>N26 Berlin</w:t>
            </w:r>
          </w:p>
        </w:tc>
        <w:tc>
          <w:tcPr>
            <w:tcW w:type="dxa" w:w="2493"/>
          </w:tcPr>
          <w:p>
            <w:r>
              <w:t>Conta cross-border</w:t>
            </w:r>
          </w:p>
        </w:tc>
        <w:tc>
          <w:tcPr>
            <w:tcW w:type="dxa" w:w="2493"/>
          </w:tcPr>
          <w:p>
            <w:r>
              <w:t>movimentações DE/UE</w:t>
            </w:r>
          </w:p>
        </w:tc>
        <w:tc>
          <w:tcPr>
            <w:tcW w:type="dxa" w:w="2493"/>
          </w:tcPr>
          <w:p>
            <w:r>
              <w:t>2020-2024</w:t>
            </w:r>
          </w:p>
        </w:tc>
      </w:tr>
      <w:tr>
        <w:tc>
          <w:tcPr>
            <w:tcW w:type="dxa" w:w="2493"/>
          </w:tcPr>
          <w:p>
            <w:r>
              <w:t>Oslo Capital DTVM</w:t>
            </w:r>
          </w:p>
        </w:tc>
        <w:tc>
          <w:tcPr>
            <w:tcW w:type="dxa" w:w="2493"/>
          </w:tcPr>
          <w:p>
            <w:r>
              <w:t>Bloqueio L2</w:t>
            </w:r>
          </w:p>
        </w:tc>
        <w:tc>
          <w:tcPr>
            <w:tcW w:type="dxa" w:w="2493"/>
          </w:tcPr>
          <w:p>
            <w:r>
              <w:t>R$ 27.799,79</w:t>
            </w:r>
          </w:p>
        </w:tc>
        <w:tc>
          <w:tcPr>
            <w:tcW w:type="dxa" w:w="2493"/>
          </w:tcPr>
          <w:p>
            <w:r>
              <w:t>2026</w:t>
            </w:r>
          </w:p>
        </w:tc>
      </w:tr>
    </w:tbl>
    <w:p>
      <w:pPr>
        <w:pStyle w:val="Heading1"/>
      </w:pPr>
      <w:r>
        <w:rPr>
          <w:rFonts w:ascii="Helvetica" w:hAnsi="Helvetica"/>
          <w:color w:val="5B1A1A"/>
        </w:rPr>
        <w:t>VIII. Subscrições, debêntures e alterações estatutárias</w:t>
      </w:r>
    </w:p>
    <w:p>
      <w:r>
        <w:rPr>
          <w:rFonts w:ascii="Georgia" w:hAnsi="Georgia"/>
          <w:sz w:val="21"/>
        </w:rPr>
        <w:t>Detalhamento das 19 AGEs/RCAs E-Vino 2017-2025 no Doc 27. Aqui apenas chave de proporcionalidade DIRPF × ato:</w:t>
      </w:r>
    </w:p>
    <w:p>
      <w:r>
        <w:rPr>
          <w:rFonts w:ascii="Georgia" w:hAnsi="Georgia"/>
          <w:sz w:val="21"/>
        </w:rPr>
        <w:t>2017-2019: RCAs Classe A/B; ingresso Vinci. PF Ari sem debêntures privadas declaradas.</w:t>
      </w:r>
    </w:p>
    <w:p>
      <w:r>
        <w:rPr>
          <w:rFonts w:ascii="Georgia" w:hAnsi="Georgia"/>
          <w:sz w:val="21"/>
        </w:rPr>
        <w:t>2020: Reorganização Apoio Adm + preparação Ajaccio. Debênture Infra R$ 49.329 (custódia Itaú, varejo).</w:t>
      </w:r>
    </w:p>
    <w:p>
      <w:r>
        <w:rPr>
          <w:rFonts w:ascii="Georgia" w:hAnsi="Georgia"/>
          <w:sz w:val="21"/>
        </w:rPr>
        <w:t>2021-2022: AGEs aumento capital E-Vino + Acordo Cotistas Ajaccio 25/05/2022. Salto patrimonial + dívida WIB.</w:t>
      </w:r>
    </w:p>
    <w:p>
      <w:r>
        <w:rPr>
          <w:rFonts w:ascii="Georgia" w:hAnsi="Georgia"/>
          <w:sz w:val="21"/>
        </w:rPr>
        <w:t>2023-2025: 19 atos societários no curso da penhora. Em tese, sujeito à valoração penal pela autoridade competente quanto a CPC art. 792 IV.</w:t>
      </w:r>
    </w:p>
    <w:p>
      <w:pPr>
        <w:pStyle w:val="Heading1"/>
      </w:pPr>
      <w:r>
        <w:rPr>
          <w:rFonts w:ascii="Helvetica" w:hAnsi="Helvetica"/>
          <w:color w:val="5B1A1A"/>
        </w:rPr>
        <w:t>IX. Hipóteses técnicas</w:t>
      </w:r>
    </w:p>
    <w:p>
      <w:pPr>
        <w:pStyle w:val="Heading2"/>
      </w:pPr>
      <w:r>
        <w:rPr>
          <w:rFonts w:ascii="Helvetica" w:hAnsi="Helvetica"/>
          <w:color w:val="5B1A1A"/>
        </w:rPr>
        <w:t>IX.1. Eixo Prochnow</w:t>
      </w:r>
    </w:p>
    <w:p>
      <w:r>
        <w:rPr>
          <w:rFonts w:ascii="Georgia" w:hAnsi="Georgia"/>
          <w:sz w:val="21"/>
        </w:rPr>
        <w:t>Mútuo PF→PF 2020 = instrumento veiculatório do aporte ao Ajaccio formalizado em 2022, com PF interposta. Em tese, sob CPC art. 792 IV, CC art. 167 e 50.</w:t>
      </w:r>
    </w:p>
    <w:p>
      <w:pPr>
        <w:pStyle w:val="Heading2"/>
      </w:pPr>
      <w:r>
        <w:rPr>
          <w:rFonts w:ascii="Helvetica" w:hAnsi="Helvetica"/>
          <w:color w:val="5B1A1A"/>
        </w:rPr>
        <w:t>IX.2. Eixo Wine in Black</w:t>
      </w:r>
    </w:p>
    <w:p>
      <w:r>
        <w:rPr>
          <w:rFonts w:ascii="Georgia" w:hAnsi="Georgia"/>
          <w:sz w:val="21"/>
        </w:rPr>
        <w:t>Dívida €2,276 MM contratada 22/06/2021 e liquidada antes de 31/12/2023 sem comprovação documental nos autos. Origem dos recursos liquidatórios: quebra ampla BACEN/RFB/DRCI.</w:t>
      </w:r>
    </w:p>
    <w:p>
      <w:pPr>
        <w:pStyle w:val="Heading2"/>
      </w:pPr>
      <w:r>
        <w:rPr>
          <w:rFonts w:ascii="Helvetica" w:hAnsi="Helvetica"/>
          <w:color w:val="5B1A1A"/>
        </w:rPr>
        <w:t>IX.3. Eixo Ajaccio</w:t>
      </w:r>
    </w:p>
    <w:p>
      <w:r>
        <w:rPr>
          <w:rFonts w:ascii="Georgia" w:hAnsi="Georgia"/>
          <w:sz w:val="21"/>
        </w:rPr>
        <w:t>Aparição declarada de Ajaccio A+F ≈ 43,5% do patrimônio em AC 2023. Veículo serve simultaneamente como receptor de aportes 2020-2022 e como ativo PF do administrador-Requerido a partir de 2023.</w:t>
      </w:r>
    </w:p>
    <w:p>
      <w:pPr>
        <w:pStyle w:val="Heading2"/>
      </w:pPr>
      <w:r>
        <w:rPr>
          <w:rFonts w:ascii="Helvetica" w:hAnsi="Helvetica"/>
          <w:color w:val="5B1A1A"/>
        </w:rPr>
        <w:t>IX.4. Eixo salário simbólico</w:t>
      </w:r>
    </w:p>
    <w:p>
      <w:r>
        <w:rPr>
          <w:rFonts w:ascii="Georgia" w:hAnsi="Georgia"/>
          <w:sz w:val="21"/>
        </w:rPr>
        <w:t>Rend. trib. R$ 12,5k → 26,4k → 33k/ano. Patrimônio R$ 4,8 MM → R$ 25,8 MM (+R$ 21 MM em 3 anos). Descompasso indicativo de fluxo não-salário, a cristalizar via quebra DRCI/RFB.</w:t>
      </w:r>
    </w:p>
    <w:p>
      <w:pPr>
        <w:pStyle w:val="Heading1"/>
      </w:pPr>
      <w:r>
        <w:rPr>
          <w:rFonts w:ascii="Helvetica" w:hAnsi="Helvetica"/>
          <w:color w:val="5B1A1A"/>
        </w:rPr>
        <w:t>X. Pedidos consequentes</w:t>
      </w:r>
    </w:p>
    <w:p>
      <w:r>
        <w:rPr>
          <w:rFonts w:ascii="Georgia" w:hAnsi="Georgia"/>
          <w:sz w:val="21"/>
        </w:rPr>
        <w:t>1. Quebra ampla das contas Itaú Ag 6560 Cta 07391-5 (Ari), Apoio Administrativo, Wine in Black GmbH (Berlim, via DRCI) e movimentações Ajaccio Classe A+F 2020-2024.</w:t>
      </w:r>
    </w:p>
    <w:p>
      <w:r>
        <w:rPr>
          <w:rFonts w:ascii="Georgia" w:hAnsi="Georgia"/>
          <w:sz w:val="21"/>
        </w:rPr>
        <w:t>2. Espelho RFB das DIRPFs AC 2019-2024 do Requerido (originais e retificadoras), com fichas de bens, dívidas, rendimentos isentos e tributação exclusiva, com cruzamento e-Financeira.</w:t>
      </w:r>
    </w:p>
    <w:p>
      <w:r>
        <w:rPr>
          <w:rFonts w:ascii="Georgia" w:hAnsi="Georgia"/>
          <w:sz w:val="21"/>
        </w:rPr>
        <w:t>3. Extratos detalhados Itaú BBA / Itau Corretora — aportes e resgates em RDB/CDB, fundos abertos e ações.</w:t>
      </w:r>
    </w:p>
    <w:p>
      <w:r>
        <w:rPr>
          <w:rFonts w:ascii="Georgia" w:hAnsi="Georgia"/>
          <w:sz w:val="21"/>
        </w:rPr>
        <w:t>4. CVM/CETIP/B3 — posição PF Ari em FII, debêntures infra, CRA, com data de aquisição.</w:t>
      </w:r>
    </w:p>
    <w:p>
      <w:r>
        <w:rPr>
          <w:rFonts w:ascii="Georgia" w:hAnsi="Georgia"/>
          <w:sz w:val="21"/>
        </w:rPr>
        <w:t>5. Vinci Capital Gestora — livro de cotas Ajaccio (A e F) e Bonifácio, com cotistas e datas de subscrição/resgate 2020-2024.</w:t>
      </w:r>
    </w:p>
    <w:p>
      <w:r>
        <w:rPr>
          <w:rFonts w:ascii="Georgia" w:hAnsi="Georgia"/>
          <w:sz w:val="21"/>
        </w:rPr>
        <w:t>6. BACEN — CBE e RDE-IED vinculados a Ari, Prochnow, Wine in Black GmbH/UG, Ajaccio, Bonifácio, 2019-2024.</w:t>
      </w:r>
    </w:p>
    <w:p>
      <w:r>
        <w:rPr>
          <w:rFonts w:ascii="Georgia" w:hAnsi="Georgia"/>
          <w:sz w:val="21"/>
        </w:rPr>
        <w:t>7. Diligência sobre Jerson Prochnow — nexo entre mútuo 2020 e participação Ajaccio 2022.</w:t>
      </w:r>
    </w:p>
    <w:p>
      <w:r>
        <w:rPr>
          <w:rFonts w:ascii="Georgia" w:hAnsi="Georgia"/>
          <w:sz w:val="21"/>
        </w:rPr>
        <w:t>8. Concentração na ação 1006744-58.2023.8.26.0011 sob CC arts. 1.658-1.660 e art. 942.</w:t>
      </w:r>
    </w:p>
    <w:p>
      <w:pPr>
        <w:pStyle w:val="Heading1"/>
      </w:pPr>
      <w:r>
        <w:rPr>
          <w:rFonts w:ascii="Helvetica" w:hAnsi="Helvetica"/>
          <w:color w:val="5B1A1A"/>
        </w:rPr>
        <w:t>XI. Mapa de fontes</w:t>
      </w:r>
    </w:p>
    <w:p>
      <w:r>
        <w:rPr>
          <w:rFonts w:ascii="Georgia" w:hAnsi="Georgia"/>
          <w:sz w:val="21"/>
        </w:rPr>
        <w:t>DIRPF AC 2020: f7b1fc12-...IRPFA20212020DEC.pdf · ND 08/25.945.445 · entrega 28/05/2021.</w:t>
      </w:r>
    </w:p>
    <w:p>
      <w:r>
        <w:rPr>
          <w:rFonts w:ascii="Georgia" w:hAnsi="Georgia"/>
          <w:sz w:val="21"/>
        </w:rPr>
        <w:t>DIRPF AC 2021: 02d95d75-...IRPFA20222021REC.pdf · ND 08/72.371.886 · retificadora 001 · 31/05/2022.</w:t>
      </w:r>
    </w:p>
    <w:p>
      <w:r>
        <w:rPr>
          <w:rFonts w:ascii="Georgia" w:hAnsi="Georgia"/>
          <w:sz w:val="21"/>
        </w:rPr>
        <w:t>DIRPF AC 2023: e1e8f730-IR_ARI_2024.pdf (Doc 26).</w:t>
      </w:r>
    </w:p>
    <w:p>
      <w:r>
        <w:rPr>
          <w:rFonts w:ascii="Georgia" w:hAnsi="Georgia"/>
          <w:sz w:val="21"/>
        </w:rPr>
        <w:t>Extratos: 8761c013-extra_ari.pdf (55pp). SIMBA: 5fc6fa6b-EXTRATO_Ari.pdf (22pp).</w:t>
      </w:r>
    </w:p>
    <w:p>
      <w:r>
        <w:rPr>
          <w:rFonts w:ascii="Georgia" w:hAnsi="Georgia"/>
          <w:sz w:val="21"/>
        </w:rPr>
        <w:t>Atos societários E-Vino: Doc 24, Doc 27. Cap table Ajaccio/Bonifácio: Doc 22, Doc 23. Eixo Berlim: Doc 26. N26 × RT 127: Doc 25. Denúncia DDM: Doc 11.</w:t>
      </w:r>
    </w:p>
    <w:p>
      <w:pPr>
        <w:pStyle w:val="Heading1"/>
      </w:pPr>
      <w:r>
        <w:rPr>
          <w:rFonts w:ascii="Helvetica" w:hAnsi="Helvetica"/>
          <w:color w:val="5B1A1A"/>
        </w:rPr>
        <w:t>XII. Nota metodológica e reserva técnica</w:t>
      </w:r>
    </w:p>
    <w:p>
      <w:r>
        <w:rPr>
          <w:rFonts w:ascii="Georgia" w:hAnsi="Georgia"/>
          <w:i/>
          <w:sz w:val="21"/>
        </w:rPr>
        <w:t>Instrumento técnico de apoio sob CPC art. 472, não substitui perícia oficial. Qualificações em tese, sob CF art. 5º, LVII e LV. Pessoas físicas anonimizadas em circulação externa (exceto Ari, Caio e Maia). Eventual juntada pressupõe conversão em peça subscrita por OAB e laudo CRC com ata notarial das fontes primárias.</w:t>
      </w:r>
    </w:p>
    <w:sectPr w:rsidR="00FC693F" w:rsidRPr="0006063C" w:rsidSect="00034616">
      <w:pgSz w:w="12240" w:h="15840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