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1A1A"/>
          <w:sz w:val="26"/>
        </w:rPr>
        <w:t>CONFIDENCIAL · DOCUMENTO 29</w:t>
        <w:br/>
        <w:t>ORGANOGRAMA DOS FUNDOS E EMPRESAS · EIXO ARI GORENSTEIN · E-VINO · AJACCIO · WINE IN BLACK · BONIFÁCIO</w:t>
      </w:r>
    </w:p>
    <w:p>
      <w:r>
        <w:rPr>
          <w:rFonts w:ascii="Georgia" w:hAnsi="Georgia"/>
          <w:i/>
          <w:sz w:val="20"/>
        </w:rPr>
        <w:t>Reconstrução grafo-relacional consolidada das pessoas jurídicas, fundos, gestoras, custodiantes, polos cross-border e PFs interpostas. Autos 1006744-58.2023.8.26.0011 · 1ª VF Pinheiros/SP · Data 14/06/2026</w:t>
      </w:r>
    </w:p>
    <w:p>
      <w:r>
        <w:drawing>
          <wp:inline xmlns:a="http://schemas.openxmlformats.org/drawingml/2006/main" xmlns:pic="http://schemas.openxmlformats.org/drawingml/2006/picture">
            <wp:extent cx="6126480" cy="4333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organograma_p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33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Georgia" w:hAnsi="Georgia"/>
          <w:i/>
          <w:sz w:val="18"/>
        </w:rPr>
        <w:t>Figura 1 — Organograma macro do ecossistema. Fonte: consolidação Docs 22-28.</w:t>
      </w:r>
    </w:p>
    <w:p>
      <w:pPr>
        <w:pStyle w:val="Heading1"/>
      </w:pPr>
      <w:r>
        <w:rPr>
          <w:rFonts w:ascii="Helvetica" w:hAnsi="Helvetica"/>
          <w:color w:val="5B1A1A"/>
        </w:rPr>
        <w:t>III. Pessoas Jurídicas identificadas</w:t>
      </w:r>
    </w:p>
    <w:p>
      <w:r>
        <w:rPr>
          <w:rFonts w:ascii="Georgia" w:hAnsi="Georgia"/>
          <w:sz w:val="21"/>
        </w:rPr>
        <w:t>E-Vino S.A. — investida primária, 19 atos societários 2017-2025 (Doc 24, 27)</w:t>
      </w:r>
    </w:p>
    <w:p>
      <w:r>
        <w:rPr>
          <w:rFonts w:ascii="Georgia" w:hAnsi="Georgia"/>
          <w:sz w:val="21"/>
        </w:rPr>
        <w:t>Ari Gorenstein Apoio Administrativo Ltda — CNPJ 17.867.118/0001-14 — veículo de lucros à PF Ari (Doc 09, 28)</w:t>
      </w:r>
    </w:p>
    <w:p>
      <w:r>
        <w:rPr>
          <w:rFonts w:ascii="Georgia" w:hAnsi="Georgia"/>
          <w:sz w:val="21"/>
        </w:rPr>
        <w:t>Wine in Black GmbH/UG — Berlim — credora cross-border €2,276 MM em 22/06/2021 (Doc 26, 28)</w:t>
      </w:r>
    </w:p>
    <w:p>
      <w:r>
        <w:rPr>
          <w:rFonts w:ascii="Georgia" w:hAnsi="Georgia"/>
          <w:sz w:val="21"/>
        </w:rPr>
        <w:t>Vinci Capital Gestora — administradora/gestora Ajaccio + Bonifácio (Doc 22, 23)</w:t>
      </w:r>
    </w:p>
    <w:p>
      <w:pPr>
        <w:pStyle w:val="Heading1"/>
      </w:pPr>
      <w:r>
        <w:rPr>
          <w:rFonts w:ascii="Helvetica" w:hAnsi="Helvetica"/>
          <w:color w:val="5B1A1A"/>
        </w:rPr>
        <w:t>IV. Fundos identificados</w:t>
      </w:r>
    </w:p>
    <w:p>
      <w:r>
        <w:rPr>
          <w:rFonts w:ascii="Georgia" w:hAnsi="Georgia"/>
          <w:sz w:val="21"/>
        </w:rPr>
        <w:t>Ajaccio FIP Classe A — cotas declaradas AC 2023 — Acordo Cotistas 25/05/2022</w:t>
      </w:r>
    </w:p>
    <w:p>
      <w:r>
        <w:rPr>
          <w:rFonts w:ascii="Georgia" w:hAnsi="Georgia"/>
          <w:sz w:val="21"/>
        </w:rPr>
        <w:t>Ajaccio FIP Classe F — cotas declaradas AC 2023 — Acordo Cotistas 25/05/2022</w:t>
      </w:r>
    </w:p>
    <w:p>
      <w:r>
        <w:rPr>
          <w:rFonts w:ascii="Georgia" w:hAnsi="Georgia"/>
          <w:sz w:val="21"/>
        </w:rPr>
        <w:t>Bonifácio FIP — cap table Doc 23</w:t>
      </w:r>
    </w:p>
    <w:p>
      <w:r>
        <w:rPr>
          <w:rFonts w:ascii="Georgia" w:hAnsi="Georgia"/>
          <w:sz w:val="21"/>
        </w:rPr>
        <w:t>Seis fundos satélites — Doc 22</w:t>
      </w:r>
    </w:p>
    <w:p>
      <w:pPr>
        <w:pStyle w:val="Heading1"/>
      </w:pPr>
      <w:r>
        <w:rPr>
          <w:rFonts w:ascii="Helvetica" w:hAnsi="Helvetica"/>
          <w:color w:val="5B1A1A"/>
        </w:rPr>
        <w:t>V. Custodiantes</w:t>
      </w:r>
    </w:p>
    <w:p>
      <w:r>
        <w:rPr>
          <w:rFonts w:ascii="Georgia" w:hAnsi="Georgia"/>
          <w:sz w:val="21"/>
        </w:rPr>
        <w:t>Itaú BBA Ag 6560 Cta 07391-5 (PF Ari) — RDB/CDB, fundos, ações</w:t>
      </w:r>
    </w:p>
    <w:p>
      <w:r>
        <w:rPr>
          <w:rFonts w:ascii="Georgia" w:hAnsi="Georgia"/>
          <w:sz w:val="21"/>
        </w:rPr>
        <w:t>Itau Corretora — CDB de Terceiros R$ 346k (2020)</w:t>
      </w:r>
    </w:p>
    <w:p>
      <w:r>
        <w:rPr>
          <w:rFonts w:ascii="Georgia" w:hAnsi="Georgia"/>
          <w:b/>
          <w:sz w:val="21"/>
        </w:rPr>
        <w:t>BTG Pactual Ag 0001 Cta 110486 — R$ 31.925.193,31 retidos 33+ meses</w:t>
      </w:r>
    </w:p>
    <w:p>
      <w:r>
        <w:rPr>
          <w:rFonts w:ascii="Georgia" w:hAnsi="Georgia"/>
          <w:sz w:val="21"/>
        </w:rPr>
        <w:t>Daycoval — eixo Gov SP / RT 127 — distrato 05/09/2023 (Doc 25)</w:t>
      </w:r>
    </w:p>
    <w:p>
      <w:r>
        <w:rPr>
          <w:rFonts w:ascii="Georgia" w:hAnsi="Georgia"/>
          <w:b/>
          <w:sz w:val="21"/>
        </w:rPr>
        <w:t>Oslo Capital DTVM — SISBAJUD 31/03/2026 R$ 27.799,79 confirma L2 (Doc 11)</w:t>
      </w:r>
    </w:p>
    <w:p>
      <w:r>
        <w:rPr>
          <w:rFonts w:ascii="Georgia" w:hAnsi="Georgia"/>
          <w:sz w:val="21"/>
        </w:rPr>
        <w:t>N26 Bank (Berlim) — conta cross-border (Doc 25, 26)</w:t>
      </w:r>
    </w:p>
    <w:p>
      <w:pPr>
        <w:pStyle w:val="Heading1"/>
      </w:pPr>
      <w:r>
        <w:rPr>
          <w:rFonts w:ascii="Helvetica" w:hAnsi="Helvetica"/>
          <w:color w:val="5B1A1A"/>
        </w:rPr>
        <w:t>VI. Pessoas Físicas relevantes</w:t>
      </w:r>
    </w:p>
    <w:p>
      <w:r>
        <w:rPr>
          <w:rFonts w:ascii="Georgia" w:hAnsi="Georgia"/>
          <w:sz w:val="21"/>
        </w:rPr>
        <w:t>Ari Gorenstein — CPF 136.447.108-64 — Requerido, administrador E-Vino, titular Apoio Adm, titular Ajaccio A+F</w:t>
      </w:r>
    </w:p>
    <w:p>
      <w:r>
        <w:rPr>
          <w:rFonts w:ascii="Georgia" w:hAnsi="Georgia"/>
          <w:sz w:val="21"/>
        </w:rPr>
        <w:t>Millena Onesti Gorenstein — CPF 006.064.549-00 — Requerente, cônjuge (comunhão parcial)</w:t>
      </w:r>
    </w:p>
    <w:p>
      <w:r>
        <w:rPr>
          <w:rFonts w:ascii="Georgia" w:hAnsi="Georgia"/>
          <w:sz w:val="21"/>
        </w:rPr>
        <w:t>Jerson Prochnow — CPF 533.312.300-49 — mutuante (2020); cotista Ajaccio (25/05/2022)</w:t>
      </w:r>
    </w:p>
    <w:p>
      <w:r>
        <w:rPr>
          <w:rFonts w:ascii="Georgia" w:hAnsi="Georgia"/>
          <w:sz w:val="21"/>
        </w:rPr>
        <w:t>Marcos Leonel Leal — co-administrador E-Vino (onipresente RCAs/AGEs 2017-2025)</w:t>
      </w:r>
    </w:p>
    <w:p>
      <w:r>
        <w:rPr>
          <w:rFonts w:ascii="Georgia" w:hAnsi="Georgia"/>
          <w:sz w:val="21"/>
        </w:rPr>
        <w:t>Caio Onesti Gorenstein — dependente — CPF 495.017.298-00 — n. 03/01/2014</w:t>
      </w:r>
    </w:p>
    <w:p>
      <w:r>
        <w:rPr>
          <w:rFonts w:ascii="Georgia" w:hAnsi="Georgia"/>
          <w:sz w:val="21"/>
        </w:rPr>
        <w:t>Maia Onesti Gorenstein — dependente — CPF 565.917.088-98 — n. 10/06/2016</w:t>
      </w:r>
    </w:p>
    <w:p>
      <w:pPr>
        <w:pStyle w:val="Heading1"/>
      </w:pPr>
      <w:r>
        <w:rPr>
          <w:rFonts w:ascii="Helvetica" w:hAnsi="Helvetica"/>
          <w:color w:val="5B1A1A"/>
        </w:rPr>
        <w:t>VII. Fluxos de capital identificados</w:t>
      </w:r>
    </w:p>
    <w:p>
      <w:r>
        <w:rPr>
          <w:rFonts w:ascii="Georgia" w:hAnsi="Georgia"/>
          <w:sz w:val="20"/>
        </w:rPr>
        <w:t>• Apoio Administrativo → PF Ari · R$ 930.000 · AC 2020 · lucros isentos</w:t>
      </w:r>
    </w:p>
    <w:p>
      <w:r>
        <w:rPr>
          <w:rFonts w:ascii="Georgia" w:hAnsi="Georgia"/>
          <w:sz w:val="20"/>
        </w:rPr>
        <w:t>• Jerson Prochnow → PF Ari · R$ 1.251.857 · até 31/12/2020 · mútuo sem juros/prazo</w:t>
      </w:r>
    </w:p>
    <w:p>
      <w:r>
        <w:rPr>
          <w:rFonts w:ascii="Georgia" w:hAnsi="Georgia"/>
          <w:sz w:val="20"/>
        </w:rPr>
        <w:t>• Wine in Black GmbH (Berlim) → PF Ari · €2.276.136 ≈ R$ 13,47 MM · 22/06/2021 · mútuo cross-border</w:t>
      </w:r>
    </w:p>
    <w:p>
      <w:r>
        <w:rPr>
          <w:rFonts w:ascii="Georgia" w:hAnsi="Georgia"/>
          <w:sz w:val="20"/>
        </w:rPr>
        <w:t>• PF Ari → WIB · liquidação integral · até 31/12/2023 · quitação cross-border</w:t>
      </w:r>
    </w:p>
    <w:p>
      <w:r>
        <w:rPr>
          <w:rFonts w:ascii="Georgia" w:hAnsi="Georgia"/>
          <w:sz w:val="20"/>
        </w:rPr>
        <w:t>• Cotistas (Prochnow et al.) → Ajaccio FIP · subscrição A+F · 25/05/2022</w:t>
      </w:r>
    </w:p>
    <w:p>
      <w:r>
        <w:rPr>
          <w:rFonts w:ascii="Georgia" w:hAnsi="Georgia"/>
          <w:sz w:val="20"/>
        </w:rPr>
        <w:t>• Ajaccio → PF Ari · R$ 11,22 MM declarados · AC 2023 · cotas A+F na DIRPF</w:t>
      </w:r>
    </w:p>
    <w:p>
      <w:r>
        <w:rPr>
          <w:rFonts w:ascii="Georgia" w:hAnsi="Georgia"/>
          <w:sz w:val="20"/>
        </w:rPr>
        <w:t>• SISBAJUD efetivo → conta judicial · R$ 42,4 → R$ 51,3 MM SELIC · 02/05/2023</w:t>
      </w:r>
    </w:p>
    <w:p>
      <w:r>
        <w:rPr>
          <w:rFonts w:ascii="Georgia" w:hAnsi="Georgia"/>
          <w:sz w:val="20"/>
        </w:rPr>
        <w:t>• SISBAJUD reiterado · R$ 84,86 MM identificados · 18/05/2023 (fls. 418)</w:t>
      </w:r>
    </w:p>
    <w:p>
      <w:r>
        <w:rPr>
          <w:rFonts w:ascii="Georgia" w:hAnsi="Georgia"/>
          <w:sz w:val="20"/>
        </w:rPr>
        <w:t>• BTG Ag 0001 Cta 110486 → conta judicial · R$ 31.925.193,31 · desde 26/05/2023 · 33+ meses inexecução</w:t>
      </w:r>
    </w:p>
    <w:p>
      <w:r>
        <w:rPr>
          <w:rFonts w:ascii="Georgia" w:hAnsi="Georgia"/>
          <w:sz w:val="20"/>
        </w:rPr>
        <w:t>• Oslo Capital DTVM → conta judicial · R$ 27.799,79 · 31/03/2026 · L2 confirmada</w:t>
      </w:r>
    </w:p>
    <w:p>
      <w:pPr>
        <w:pStyle w:val="Heading1"/>
      </w:pPr>
      <w:r>
        <w:rPr>
          <w:rFonts w:ascii="Helvetica" w:hAnsi="Helvetica"/>
          <w:color w:val="5B1A1A"/>
        </w:rPr>
        <w:t>VIII. Vetores de auditoria a serem requisitados</w:t>
      </w:r>
    </w:p>
    <w:p>
      <w:r>
        <w:rPr>
          <w:rFonts w:ascii="Georgia" w:hAnsi="Georgia"/>
          <w:sz w:val="21"/>
        </w:rPr>
        <w:t>Quebra ampla: Itaú BBA Ag 6560 Cta 07391-5, Apoio Adm, Wine in Black GmbH (DRCI), livro de cotas Ajaccio/Bonifácio (Vinci/CVM), N26 (DRCI BR-DE).</w:t>
      </w:r>
    </w:p>
    <w:p>
      <w:r>
        <w:rPr>
          <w:rFonts w:ascii="Georgia" w:hAnsi="Georgia"/>
          <w:sz w:val="21"/>
        </w:rPr>
        <w:t>RFB: espelho DIRPFs AC 2019-2024 (originais e retificadoras), e-Financeira cruzada, fichas bens/dívidas/rend. isentos/tributação exclusiva.</w:t>
      </w:r>
    </w:p>
    <w:p>
      <w:r>
        <w:rPr>
          <w:rFonts w:ascii="Georgia" w:hAnsi="Georgia"/>
          <w:sz w:val="21"/>
        </w:rPr>
        <w:t>BACEN: CBE/RDE-IED — Ari, Prochnow, WIB, Ajaccio, Bonifácio.</w:t>
      </w:r>
    </w:p>
    <w:p>
      <w:r>
        <w:rPr>
          <w:rFonts w:ascii="Georgia" w:hAnsi="Georgia"/>
          <w:sz w:val="21"/>
        </w:rPr>
        <w:t>CVM: regulamento dos FIPs, deliberações Vinci, registros de subscrição/resgate.</w:t>
      </w:r>
    </w:p>
    <w:p>
      <w:r>
        <w:rPr>
          <w:rFonts w:ascii="Georgia" w:hAnsi="Georgia"/>
          <w:sz w:val="21"/>
        </w:rPr>
        <w:t>JUCESP: atos societários integrais E-Vino 2017-2025 com averbação cronológica.</w:t>
      </w:r>
    </w:p>
    <w:p>
      <w:r>
        <w:rPr>
          <w:rFonts w:ascii="Georgia" w:hAnsi="Georgia"/>
          <w:sz w:val="21"/>
        </w:rPr>
        <w:t>COAF: RIFs em torno das janelas 2020, 2021-2022 e 2023.</w:t>
      </w:r>
    </w:p>
    <w:p>
      <w:r>
        <w:rPr>
          <w:rFonts w:ascii="Georgia" w:hAnsi="Georgia"/>
          <w:sz w:val="21"/>
        </w:rPr>
        <w:t>DRCI/MJ: cooperação Brasil-Alemanha para WIB e N26.</w:t>
      </w:r>
    </w:p>
    <w:p>
      <w:pPr>
        <w:pStyle w:val="Heading1"/>
      </w:pPr>
      <w:r>
        <w:rPr>
          <w:rFonts w:ascii="Helvetica" w:hAnsi="Helvetica"/>
          <w:color w:val="5B1A1A"/>
        </w:rPr>
        <w:t>IX. Nota metodológica e reserva técnica</w:t>
      </w:r>
    </w:p>
    <w:p>
      <w:r>
        <w:rPr>
          <w:rFonts w:ascii="Georgia" w:hAnsi="Georgia"/>
          <w:i/>
          <w:sz w:val="21"/>
        </w:rPr>
        <w:t>Instrumento técnico de apoio sob CPC art. 472, não substitui perícia oficial. Qualificações em tese sob CF art. 5º LVII e LV. PFs anonimizadas em circulação externa (exceto Ari, Caio e Maia). Conversão prévia em peça subscrita por OAB e laudo CRC com ata notarial das fontes primárias antes do uso processual.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