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1A1A"/>
          <w:sz w:val="24"/>
        </w:rPr>
        <w:t>CONFIDENCIAL · DOCUMENTO 34</w:t>
        <w:br/>
        <w:t>SÍNTESE INTEGRADA · M&amp;A FORENSE · GRAFO · LAVAGEM DE CONTROLE · GARANTISMO</w:t>
      </w:r>
    </w:p>
    <w:p>
      <w:r>
        <w:rPr>
          <w:rFonts w:ascii="Georgia" w:hAnsi="Georgia"/>
          <w:i/>
          <w:sz w:val="20"/>
        </w:rPr>
        <w:t>Cruzamento dos quatro estudos: Black Swan V2 + Relatório M&amp;A "O boi inteiro do deal Evino" + Tratado Operação Limonciello (Aury Lopes Jr.) + Análise de Grafo Circularidade Fram→JP2R→Ajaccio→E-Vino. Autos 1006744-58.2023.8.26.0011 · 15/06/2026.</w:t>
      </w:r>
    </w:p>
    <w:p>
      <w:pPr>
        <w:pStyle w:val="Heading1"/>
      </w:pPr>
      <w:r>
        <w:rPr>
          <w:rFonts w:ascii="Helvetica" w:hAnsi="Helvetica"/>
          <w:color w:val="5B1A1A"/>
        </w:rPr>
        <w:t>I. Oito achados consolidados (Black Swans)</w:t>
      </w:r>
    </w:p>
    <w:p>
      <w:r>
        <w:rPr>
          <w:rFonts w:ascii="Georgia" w:hAnsi="Georgia"/>
          <w:sz w:val="20"/>
        </w:rPr>
        <w:t>• BS-1. FIP Ajaccio com PL R$ 1,57 bi e caixa R$ 0,00 (nov/2024). Ratio de liquidez 0,000000%.</w:t>
      </w:r>
    </w:p>
    <w:p>
      <w:r>
        <w:rPr>
          <w:rFonts w:ascii="Georgia" w:hAnsi="Georgia"/>
          <w:sz w:val="20"/>
        </w:rPr>
        <w:t>• BS-2. Passivo R$ 178 MM (47,68% PL ago/2021) desaparece em 6 meses antes do aporte Vinci. Window dressing pré-due diligence.</w:t>
      </w:r>
    </w:p>
    <w:p>
      <w:r>
        <w:rPr>
          <w:rFonts w:ascii="Georgia" w:hAnsi="Georgia"/>
          <w:sz w:val="20"/>
        </w:rPr>
        <w:t>• BS-3. Auditoria com ressalva Volimo fev/2024 - auditores não obtiveram evidências sobre Ajaccio FIP (97,49% do PL).</w:t>
      </w:r>
    </w:p>
    <w:p>
      <w:r>
        <w:rPr>
          <w:rFonts w:ascii="Georgia" w:hAnsi="Georgia"/>
          <w:sz w:val="20"/>
        </w:rPr>
        <w:t>• BS-4. FRAM Capital DTVM e OSLO Capital DTVM são A MESMA ENTIDADE - CNPJ 13.673.855/0001-25 idêntico. Renomeação em maio/2024 coincide com saída do Vinci.</w:t>
      </w:r>
    </w:p>
    <w:p>
      <w:r>
        <w:rPr>
          <w:rFonts w:ascii="Georgia" w:hAnsi="Georgia"/>
          <w:sz w:val="20"/>
        </w:rPr>
        <w:t>• BS-5. Bonifácio FIP (CNPJ 59.402.540/0001-44) constituído em 11/02/2025 - DURANTE litígio - mesmo endereço Ajaccio, zero FNET, zero cotistas. Deflacionamento Classe F 122x.</w:t>
      </w:r>
    </w:p>
    <w:p>
      <w:r>
        <w:rPr>
          <w:rFonts w:ascii="Georgia" w:hAnsi="Georgia"/>
          <w:sz w:val="20"/>
        </w:rPr>
        <w:t>• BS-6. 6 entidades no MESMO endereço Rua Dr. Eduardo de Souza Aranha, 153, 4º andar (Ajaccio + Bonifácio + Fram XIV + Ajaccio FICFIM + Fram Capital Part. + FRAM/OSLO DTVM). Confusão patrimonial.</w:t>
      </w:r>
    </w:p>
    <w:p>
      <w:r>
        <w:rPr>
          <w:rFonts w:ascii="Georgia" w:hAnsi="Georgia"/>
          <w:sz w:val="20"/>
        </w:rPr>
        <w:t>• BS-7. Valor da cota Ajaccio R$ 997,92 (dez/2021) → R$ 5.222,84 (jan/2025) = +423% com caixa zero. Mark-to-model puro.</w:t>
      </w:r>
    </w:p>
    <w:p>
      <w:r>
        <w:rPr>
          <w:rFonts w:ascii="Georgia" w:hAnsi="Georgia"/>
          <w:sz w:val="20"/>
        </w:rPr>
        <w:t>• BS-8. Tipologia "lavagem de controle" - ciclo Fram → JP2R PTE LTD (Singapura, UEN 201840728Z) → Ajaccio → E-Vino → retorno. JP2R constituída 03/12/2018, antes das reformas Singapura de 16/06/2025 (nominee shareholders opacos).</w:t>
      </w:r>
    </w:p>
    <w:p>
      <w:pPr>
        <w:pStyle w:val="Heading1"/>
      </w:pPr>
      <w:r>
        <w:rPr>
          <w:rFonts w:ascii="Helvetica" w:hAnsi="Helvetica"/>
          <w:color w:val="5B1A1A"/>
        </w:rPr>
        <w:t>II. Cadastro mestre L1-L5</w:t>
      </w:r>
    </w:p>
    <w:p>
      <w:pPr>
        <w:pStyle w:val="Heading2"/>
      </w:pPr>
      <w:r>
        <w:rPr>
          <w:rFonts w:ascii="Helvetica" w:hAnsi="Helvetica"/>
          <w:color w:val="5B1A1A"/>
        </w:rPr>
        <w:t>L1 - 8 CNPJs operacionais</w:t>
      </w:r>
    </w:p>
    <w:p>
      <w:r>
        <w:rPr>
          <w:rFonts w:ascii="Georgia" w:hAnsi="Georgia"/>
          <w:sz w:val="20"/>
        </w:rPr>
        <w:t>• 1. E-VINO S.A. CNPJ 17.392.519/0001-65 · R$ 537,67 MM · R. Bela Cintra 986/8</w:t>
      </w:r>
    </w:p>
    <w:p>
      <w:r>
        <w:rPr>
          <w:rFonts w:ascii="Georgia" w:hAnsi="Georgia"/>
          <w:sz w:val="20"/>
        </w:rPr>
        <w:t>• 2. AGRO SYRAH S.A. CNPJ 23.699.696/0001-91 · R$ 74,42 MM · Bela Cintra 986/8 · holding</w:t>
      </w:r>
    </w:p>
    <w:p>
      <w:r>
        <w:rPr>
          <w:rFonts w:ascii="Georgia" w:hAnsi="Georgia"/>
          <w:sz w:val="20"/>
        </w:rPr>
        <w:t>• 3. GRAND CRU IMPORTADORA CNPJ 05.089.637/0001-10 · R$ 58,38 MM · Bela Cintra 1799</w:t>
      </w:r>
    </w:p>
    <w:p>
      <w:r>
        <w:rPr>
          <w:rFonts w:ascii="Georgia" w:hAnsi="Georgia"/>
          <w:sz w:val="20"/>
        </w:rPr>
        <w:t>• 4. GRAND CRU DISTRIBUIDORA CNPJ 13.728.375/0001-14 · R$ 13,61 MM · Bela Cintra 986/8</w:t>
      </w:r>
    </w:p>
    <w:p>
      <w:r>
        <w:rPr>
          <w:rFonts w:ascii="Georgia" w:hAnsi="Georgia"/>
          <w:sz w:val="20"/>
        </w:rPr>
        <w:t>• 5. VÍSSIMO FRANQUIAS CNPJ 12.584.840/0001-28 · R$ 5,92 MM · São Bernardo</w:t>
      </w:r>
    </w:p>
    <w:p>
      <w:r>
        <w:rPr>
          <w:rFonts w:ascii="Georgia" w:hAnsi="Georgia"/>
          <w:sz w:val="20"/>
        </w:rPr>
        <w:t>• 6. INTERBEVERAGES CNPJ 25.383.665/0001-52 · R$ 36,25 MM · Bela Cintra 986/15 · parking R$ 10k→R$ 773,9 MM→R$ 36,2 MM</w:t>
      </w:r>
    </w:p>
    <w:p>
      <w:r>
        <w:rPr>
          <w:rFonts w:ascii="Georgia" w:hAnsi="Georgia"/>
          <w:sz w:val="20"/>
        </w:rPr>
        <w:t>• 7. WINE LOCALS CNPJ 32.603.492/0001-04 · R$ 4,53 MM · Porto Alegre/RS</w:t>
      </w:r>
    </w:p>
    <w:p>
      <w:r>
        <w:rPr>
          <w:rFonts w:ascii="Georgia" w:hAnsi="Georgia"/>
          <w:sz w:val="20"/>
        </w:rPr>
        <w:t>• 8. ARI APOIO ADM. CNPJ 17.867.118/0001-14 · R$ 1.000 · pass-through R$ 5,4 MM/ano</w:t>
      </w:r>
    </w:p>
    <w:p>
      <w:pPr>
        <w:pStyle w:val="Heading2"/>
      </w:pPr>
      <w:r>
        <w:rPr>
          <w:rFonts w:ascii="Helvetica" w:hAnsi="Helvetica"/>
          <w:color w:val="5B1A1A"/>
        </w:rPr>
        <w:t>L3-L4 Fundos qualificados</w:t>
      </w:r>
    </w:p>
    <w:p>
      <w:r>
        <w:rPr>
          <w:rFonts w:ascii="Georgia" w:hAnsi="Georgia"/>
          <w:sz w:val="20"/>
        </w:rPr>
        <w:t>• AJACCIO FIP CNPJ 37.381.595/0001-82 · adm OSLO/gestor Vinci · PL R$ 1,41-1,57 bi · 100% E-Vino · 43 cotistas</w:t>
      </w:r>
    </w:p>
    <w:p>
      <w:r>
        <w:rPr>
          <w:rFonts w:ascii="Georgia" w:hAnsi="Georgia"/>
          <w:sz w:val="20"/>
        </w:rPr>
        <w:t>• VINCI CAPITAL III K FIP CNPJ 44.179.309/0001-66 · cotista-líder · registro 01/12/2021 (3m antes round)</w:t>
      </w:r>
    </w:p>
    <w:p>
      <w:r>
        <w:rPr>
          <w:rFonts w:ascii="Georgia" w:hAnsi="Georgia"/>
          <w:sz w:val="20"/>
        </w:rPr>
        <w:t>• FIP VOLIMO CNPJ 36.642.430/0001-54 · BTG · em liquidação · cotista Ajaccio</w:t>
      </w:r>
    </w:p>
    <w:p>
      <w:r>
        <w:rPr>
          <w:rFonts w:ascii="Georgia" w:hAnsi="Georgia"/>
          <w:sz w:val="20"/>
        </w:rPr>
        <w:t>• FIP AVILA · BTG · R$ 1,107 bi · cotista Ajaccio · invest. MadeiraMadeira Cayman</w:t>
      </w:r>
    </w:p>
    <w:p>
      <w:r>
        <w:rPr>
          <w:rFonts w:ascii="Georgia" w:hAnsi="Georgia"/>
          <w:sz w:val="20"/>
        </w:rPr>
        <w:t>• XPA TRAFALGAR EVN FIP · XP · cotista Ajaccio · canal high-income</w:t>
      </w:r>
    </w:p>
    <w:p>
      <w:r>
        <w:rPr>
          <w:rFonts w:ascii="Georgia" w:hAnsi="Georgia"/>
          <w:sz w:val="20"/>
        </w:rPr>
        <w:t>• BONIFÁCIO FIP CNPJ 59.402.540/0001-44 · OSLO · constituído 11/02/2025 (litígio) · zero FNET · veículo deflacionamento</w:t>
      </w:r>
    </w:p>
    <w:p>
      <w:r>
        <w:rPr>
          <w:rFonts w:ascii="Georgia" w:hAnsi="Georgia"/>
          <w:sz w:val="20"/>
        </w:rPr>
        <w:t>• FRAM CAPITAL XIV FIP CNPJ 37.388.102/0001-36 · BAIXADO · constituído 03/06/2020 (mesmo dia Ajaccio)</w:t>
      </w:r>
    </w:p>
    <w:p>
      <w:r>
        <w:rPr>
          <w:rFonts w:ascii="Georgia" w:hAnsi="Georgia"/>
          <w:sz w:val="20"/>
        </w:rPr>
        <w:t>• AJACCIO FICFIM Exterior CNPJ 33.701.444/0001-03 · BAIXADO · FIC offshore</w:t>
      </w:r>
    </w:p>
    <w:p>
      <w:r>
        <w:rPr>
          <w:rFonts w:ascii="Georgia" w:hAnsi="Georgia"/>
          <w:sz w:val="20"/>
        </w:rPr>
        <w:t>• PORTO FIP CNPJ 44.329.676/0001-07 · Oliveira Trust · Barra/RJ</w:t>
      </w:r>
    </w:p>
    <w:p>
      <w:r>
        <w:rPr>
          <w:rFonts w:ascii="Georgia" w:hAnsi="Georgia"/>
          <w:sz w:val="20"/>
        </w:rPr>
        <w:t>• AQUA CAPITAL PE AGRO FIP · ex-controlador Grand Cru → entrada Evino 10/2021</w:t>
      </w:r>
    </w:p>
    <w:p>
      <w:r>
        <w:rPr>
          <w:rFonts w:ascii="Georgia" w:hAnsi="Georgia"/>
          <w:sz w:val="20"/>
        </w:rPr>
        <w:t>• FRAM Gestora CNPJ 08.157.028/0001-XX (gestora) / 17.079.937 (FIPs sob gestão DOU 28/05/2024)</w:t>
      </w:r>
    </w:p>
    <w:p>
      <w:r>
        <w:rPr>
          <w:rFonts w:ascii="Georgia" w:hAnsi="Georgia"/>
          <w:sz w:val="20"/>
        </w:rPr>
        <w:t>• FRAM Capital Participações S.A. CNPJ 08.907.334/0001-55 · BAIXADA</w:t>
      </w:r>
    </w:p>
    <w:p>
      <w:r>
        <w:rPr>
          <w:rFonts w:ascii="Georgia" w:hAnsi="Georgia"/>
          <w:sz w:val="20"/>
        </w:rPr>
        <w:t>• FRAM/OSLO Capital DTVM CNPJ 13.673.855/0001-25 · renomeação mai/2024</w:t>
      </w:r>
    </w:p>
    <w:p>
      <w:r>
        <w:rPr>
          <w:rFonts w:ascii="Georgia" w:hAnsi="Georgia"/>
          <w:sz w:val="20"/>
        </w:rPr>
        <w:t>• VINCI Capital Gestora CNPJ 11.079.478/0001-75</w:t>
      </w:r>
    </w:p>
    <w:p>
      <w:r>
        <w:rPr>
          <w:rFonts w:ascii="Georgia" w:hAnsi="Georgia"/>
          <w:sz w:val="20"/>
        </w:rPr>
        <w:t>• Oliveira Trust Servicer CNPJ 02.150.453/0001-20</w:t>
      </w:r>
    </w:p>
    <w:p>
      <w:pPr>
        <w:pStyle w:val="Heading2"/>
      </w:pPr>
      <w:r>
        <w:rPr>
          <w:rFonts w:ascii="Helvetica" w:hAnsi="Helvetica"/>
          <w:color w:val="5B1A1A"/>
        </w:rPr>
        <w:t>L5 Offshore (Repatriation Layer)</w:t>
      </w:r>
    </w:p>
    <w:p>
      <w:r>
        <w:rPr>
          <w:rFonts w:ascii="Georgia" w:hAnsi="Georgia"/>
          <w:b/>
          <w:sz w:val="21"/>
        </w:rPr>
        <w:t>JP2R PTE LTD · UEN 201840728Z · Singapura · constituída 03/12/2018 · UBO não declarado · cotista hipotético Ajaccio · associação Fram</w:t>
      </w:r>
    </w:p>
    <w:p>
      <w:r>
        <w:rPr>
          <w:rFonts w:ascii="Georgia" w:hAnsi="Georgia"/>
          <w:sz w:val="21"/>
        </w:rPr>
        <w:t>Anacapri Investments LLC · Delaware/EUA · Repatriation</w:t>
      </w:r>
    </w:p>
    <w:p>
      <w:r>
        <w:rPr>
          <w:rFonts w:ascii="Georgia" w:hAnsi="Georgia"/>
          <w:sz w:val="21"/>
        </w:rPr>
        <w:t>Brescia Investments LLC · Delaware/EUA · Repatriation</w:t>
      </w:r>
    </w:p>
    <w:p>
      <w:r>
        <w:rPr>
          <w:rFonts w:ascii="Georgia" w:hAnsi="Georgia"/>
          <w:sz w:val="21"/>
        </w:rPr>
        <w:t>Cetara Investments LLC · Delaware/EUA · Repatriation</w:t>
      </w:r>
    </w:p>
    <w:p>
      <w:pPr>
        <w:pStyle w:val="Heading1"/>
      </w:pPr>
      <w:r>
        <w:rPr>
          <w:rFonts w:ascii="Helvetica" w:hAnsi="Helvetica"/>
          <w:color w:val="5B1A1A"/>
        </w:rPr>
        <w:t>III. HUBs físicos</w:t>
      </w:r>
    </w:p>
    <w:p>
      <w:r>
        <w:rPr>
          <w:rFonts w:ascii="Georgia" w:hAnsi="Georgia"/>
          <w:b/>
          <w:sz w:val="21"/>
        </w:rPr>
        <w:t>HUB 1 (FINANCEIRO): Rua Dr. Eduardo de Souza Aranha 153 4º andar · Vila Nova Conceição · SP · 04543-120. 6 entidades: Ajaccio FIP + Bonifácio FIP + Fram XIV FIP + Ajaccio FICFIM + Fram Capital Part. + FRAM/OSLO DTVM. SMOKING GUN para IDPJ (CC 50 §2 II).</w:t>
      </w:r>
    </w:p>
    <w:p>
      <w:r>
        <w:rPr>
          <w:rFonts w:ascii="Georgia" w:hAnsi="Georgia"/>
          <w:b/>
          <w:sz w:val="21"/>
        </w:rPr>
        <w:t>HUB 2 (OPERACIONAL): R. Bela Cintra 986 · Consolação · SP · 01415-906. 4 entidades: E-Vino (And 8) + Agro Syrah (And 8) + Grand Cru Distribuidora (And 8) + Interbeverages (And 15). Holding controladora e operacional MESMO ENDEREÇO. E-mail Agro Syrah: paralegal@grandcru.com.br (não vissimo.com.br).</w:t>
      </w:r>
    </w:p>
    <w:p>
      <w:pPr>
        <w:pStyle w:val="Heading1"/>
      </w:pPr>
      <w:r>
        <w:rPr>
          <w:rFonts w:ascii="Helvetica" w:hAnsi="Helvetica"/>
          <w:color w:val="5B1A1A"/>
        </w:rPr>
        <w:t>IV. As 5 Rotas AML (Limonciello)</w:t>
      </w:r>
    </w:p>
    <w:p>
      <w:r>
        <w:rPr>
          <w:rFonts w:ascii="Georgia" w:hAnsi="Georgia"/>
          <w:sz w:val="21"/>
        </w:rPr>
        <w:t>R1: TED R$ 11,07 MM sem lastro contratual · Ari → estrutura Ajaccio · Placement opaco</w:t>
      </w:r>
    </w:p>
    <w:p>
      <w:r>
        <w:rPr>
          <w:rFonts w:ascii="Georgia" w:hAnsi="Georgia"/>
          <w:sz w:val="21"/>
        </w:rPr>
        <w:t>R2: Apoio Admin pass-through · R$ 5,4 MM/ano · ~R$ 32,4 MM acumulado · Layering interposição PF-PJ</w:t>
      </w:r>
    </w:p>
    <w:p>
      <w:r>
        <w:rPr>
          <w:rFonts w:ascii="Georgia" w:hAnsi="Georgia"/>
          <w:sz w:val="21"/>
        </w:rPr>
        <w:t>R3: JP2R PTE LTD 80% circular · Singapura · Round-trip offshore</w:t>
      </w:r>
    </w:p>
    <w:p>
      <w:r>
        <w:rPr>
          <w:rFonts w:ascii="Georgia" w:hAnsi="Georgia"/>
          <w:sz w:val="21"/>
        </w:rPr>
        <w:t>R4: RT 127 cisão parcial · R$ 57,18 MM · holding shell receptora · Cisão fraudulenta</w:t>
      </w:r>
    </w:p>
    <w:p>
      <w:r>
        <w:rPr>
          <w:rFonts w:ascii="Georgia" w:hAnsi="Georgia"/>
          <w:sz w:val="21"/>
        </w:rPr>
        <w:t>R5: INTERBEVERAGES parking · R$ 10k → R$ 773,9 MM → R$ 36,2 MM · Asset parking sham capitalization</w:t>
      </w:r>
    </w:p>
    <w:p>
      <w:pPr>
        <w:pStyle w:val="Heading1"/>
      </w:pPr>
      <w:r>
        <w:rPr>
          <w:rFonts w:ascii="Helvetica" w:hAnsi="Helvetica"/>
          <w:color w:val="5B1A1A"/>
        </w:rPr>
        <w:t>V. Cronologia integrada (excertos críticos)</w:t>
      </w:r>
    </w:p>
    <w:p>
      <w:r>
        <w:rPr>
          <w:rFonts w:ascii="Georgia" w:hAnsi="Georgia"/>
          <w:sz w:val="20"/>
        </w:rPr>
        <w:t>• 11/08/2012 — Casamento comunhão parcial</w:t>
      </w:r>
    </w:p>
    <w:p>
      <w:r>
        <w:rPr>
          <w:rFonts w:ascii="Georgia" w:hAnsi="Georgia"/>
          <w:sz w:val="20"/>
        </w:rPr>
        <w:t>• 18/12/2012 — E-Vino constituída (4m depois — bem comum CC 1.660 I)</w:t>
      </w:r>
    </w:p>
    <w:p>
      <w:r>
        <w:rPr>
          <w:rFonts w:ascii="Georgia" w:hAnsi="Georgia"/>
          <w:sz w:val="20"/>
        </w:rPr>
        <w:t>• 19/11/2015 — Agro Syrah constituída · R$ 74,4 MM · mesmo endereço E-Vino</w:t>
      </w:r>
    </w:p>
    <w:p>
      <w:r>
        <w:rPr>
          <w:rFonts w:ascii="Georgia" w:hAnsi="Georgia"/>
          <w:sz w:val="20"/>
        </w:rPr>
        <w:t>• Dez/2018 — JP2R PTE LTD constituída Singapura · UEN 201840728Z · UBO não declarado</w:t>
      </w:r>
    </w:p>
    <w:p>
      <w:r>
        <w:rPr>
          <w:rFonts w:ascii="Georgia" w:hAnsi="Georgia"/>
          <w:sz w:val="20"/>
        </w:rPr>
        <w:t>• 03/06/2020 — Ajaccio FIP + Fram Capital XIV FIP constituídos no MESMO dia</w:t>
      </w:r>
    </w:p>
    <w:p>
      <w:r>
        <w:rPr>
          <w:rFonts w:ascii="Georgia" w:hAnsi="Georgia"/>
          <w:sz w:val="20"/>
        </w:rPr>
        <w:t>• 07/07/2021 — Volimo FIP + Mútuo Conversível R$ 200 MM E-Vino</w:t>
      </w:r>
    </w:p>
    <w:p>
      <w:r>
        <w:rPr>
          <w:rFonts w:ascii="Georgia" w:hAnsi="Georgia"/>
          <w:sz w:val="20"/>
        </w:rPr>
        <w:t>• Ago/2021 — Passivo R$ 178,82 MM (47,68% PL) — pré-estruturação</w:t>
      </w:r>
    </w:p>
    <w:p>
      <w:r>
        <w:rPr>
          <w:rFonts w:ascii="Georgia" w:hAnsi="Georgia"/>
          <w:sz w:val="20"/>
        </w:rPr>
        <w:t>• 25/10/2021 — Evino adquire 100% Grand Cru da Aqua Capital</w:t>
      </w:r>
    </w:p>
    <w:p>
      <w:r>
        <w:rPr>
          <w:rFonts w:ascii="Georgia" w:hAnsi="Georgia"/>
          <w:sz w:val="20"/>
        </w:rPr>
        <w:t>• 01/12/2021 — Registro CVM VCP III K FIP (3 meses antes round)</w:t>
      </w:r>
    </w:p>
    <w:p>
      <w:r>
        <w:rPr>
          <w:rFonts w:ascii="Georgia" w:hAnsi="Georgia"/>
          <w:sz w:val="20"/>
        </w:rPr>
        <w:t>• 31/12/2021 — Cisão E-Vino → RT 127 · R$ 57,18 MM</w:t>
      </w:r>
    </w:p>
    <w:p>
      <w:r>
        <w:rPr>
          <w:rFonts w:ascii="Georgia" w:hAnsi="Georgia"/>
          <w:sz w:val="20"/>
        </w:rPr>
        <w:t>• Fev/2022 — Passivo R$ 178 MM → R$ 30 mil em 6 meses (WINDOW DRESSING)</w:t>
      </w:r>
    </w:p>
    <w:p>
      <w:r>
        <w:rPr>
          <w:rFonts w:ascii="Georgia" w:hAnsi="Georgia"/>
          <w:sz w:val="20"/>
        </w:rPr>
        <w:t>• 07/03/2022 — Round R$ 650 MM via FIP Ajaccio · Vinci+JCR+XP · Víssimo Group nasce</w:t>
      </w:r>
    </w:p>
    <w:p>
      <w:r>
        <w:rPr>
          <w:rFonts w:ascii="Georgia" w:hAnsi="Georgia"/>
          <w:sz w:val="20"/>
        </w:rPr>
        <w:t>• Mar/2022 — PL Ajaccio R$ 194 → R$ 1,06 bi (+446%) em 3 meses · caixa zero</w:t>
      </w:r>
    </w:p>
    <w:p>
      <w:r>
        <w:rPr>
          <w:rFonts w:ascii="Georgia" w:hAnsi="Georgia"/>
          <w:sz w:val="20"/>
        </w:rPr>
        <w:t>• Jun/2022 — Trio conselheiros (Felzenszwalb/Campora/Costa) nomeados mesmo dia</w:t>
      </w:r>
    </w:p>
    <w:p>
      <w:r>
        <w:rPr>
          <w:rFonts w:ascii="Georgia" w:hAnsi="Georgia"/>
          <w:sz w:val="20"/>
        </w:rPr>
        <w:t>• 06-12/2022 — BLACK SWAN #1 colapso integração · importações -60% · vendas -40%</w:t>
      </w:r>
    </w:p>
    <w:p>
      <w:r>
        <w:rPr>
          <w:rFonts w:ascii="Georgia" w:hAnsi="Georgia"/>
          <w:sz w:val="20"/>
        </w:rPr>
        <w:t>• 10/01/2023 — Ajuizamento divórcio</w:t>
      </w:r>
    </w:p>
    <w:p>
      <w:r>
        <w:rPr>
          <w:rFonts w:ascii="Georgia" w:hAnsi="Georgia"/>
          <w:sz w:val="20"/>
        </w:rPr>
        <w:t>• 02/05/2023 — SISBAJUD R$ 42.428.357,32 bloqueado</w:t>
      </w:r>
    </w:p>
    <w:p>
      <w:r>
        <w:rPr>
          <w:rFonts w:ascii="Georgia" w:hAnsi="Georgia"/>
          <w:sz w:val="20"/>
        </w:rPr>
        <w:t>• 16/05/2023 — Anomalia SISBAJUD código (30) falso (laudo CN-46 Mansano)</w:t>
      </w:r>
    </w:p>
    <w:p>
      <w:r>
        <w:rPr>
          <w:rFonts w:ascii="Georgia" w:hAnsi="Georgia"/>
          <w:sz w:val="20"/>
        </w:rPr>
        <w:t>• 18/05/2023 — SISBAJUD reiterado R$ 84,86 MM</w:t>
      </w:r>
    </w:p>
    <w:p>
      <w:r>
        <w:rPr>
          <w:rFonts w:ascii="Georgia" w:hAnsi="Georgia"/>
          <w:sz w:val="20"/>
        </w:rPr>
        <w:t>• Set/2023 — RT127 distratada sem destinação rastreada</w:t>
      </w:r>
    </w:p>
    <w:p>
      <w:r>
        <w:rPr>
          <w:rFonts w:ascii="Georgia" w:hAnsi="Georgia"/>
          <w:sz w:val="20"/>
        </w:rPr>
        <w:t>• Mar/2024 — BLACK SWAN #2 Vinci sinaliza saída · vendedor motivado</w:t>
      </w:r>
    </w:p>
    <w:p>
      <w:r>
        <w:rPr>
          <w:rFonts w:ascii="Georgia" w:hAnsi="Georgia"/>
          <w:sz w:val="20"/>
        </w:rPr>
        <w:t>• Mai/2024 — FRAM DTVM RENOMEADA para OSLO DTVM (MESMO CNPJ)</w:t>
      </w:r>
    </w:p>
    <w:p>
      <w:r>
        <w:rPr>
          <w:rFonts w:ascii="Georgia" w:hAnsi="Georgia"/>
          <w:sz w:val="20"/>
        </w:rPr>
        <w:t>• 09/05+29/07/2024 — Atas Petroni revalidam Ari como Diretor de Produtos · protocoladas JUCESP 14/01/2025 — RETROAÇÃO 8 MESES</w:t>
      </w:r>
    </w:p>
    <w:p>
      <w:r>
        <w:rPr>
          <w:rFonts w:ascii="Georgia" w:hAnsi="Georgia"/>
          <w:sz w:val="20"/>
        </w:rPr>
        <w:t>• 29/11/2024 — Ajaccio PL R$ 1,57 bi · disponibilidades R$ 0,00 EXATO</w:t>
      </w:r>
    </w:p>
    <w:p>
      <w:r>
        <w:rPr>
          <w:rFonts w:ascii="Georgia" w:hAnsi="Georgia"/>
          <w:sz w:val="20"/>
        </w:rPr>
        <w:t>• 12/2024 — Ari sai do Conselho · BLACK SWAN #3 1ª onda</w:t>
      </w:r>
    </w:p>
    <w:p>
      <w:r>
        <w:rPr>
          <w:rFonts w:ascii="Georgia" w:hAnsi="Georgia"/>
          <w:sz w:val="20"/>
        </w:rPr>
        <w:t>• 11/02/2025 — BONIFÁCIO FIP constituído DURANTE litígio (CNPJ 59.402.540) · zero FNET</w:t>
      </w:r>
    </w:p>
    <w:p>
      <w:r>
        <w:rPr>
          <w:rFonts w:ascii="Georgia" w:hAnsi="Georgia"/>
          <w:sz w:val="20"/>
        </w:rPr>
        <w:t>• Jan/2025 — Ajaccio 12 cotistas (5PF+3PJfin+4fundos) · cota R$ 5.222,84 (+423% vs 2021)</w:t>
      </w:r>
    </w:p>
    <w:p>
      <w:r>
        <w:rPr>
          <w:rFonts w:ascii="Georgia" w:hAnsi="Georgia"/>
          <w:sz w:val="20"/>
        </w:rPr>
        <w:t>• 23/05/2025 — Ajaccio altera regulamento Res. CVM 175</w:t>
      </w:r>
    </w:p>
    <w:p>
      <w:r>
        <w:rPr>
          <w:rFonts w:ascii="Georgia" w:hAnsi="Georgia"/>
          <w:sz w:val="20"/>
        </w:rPr>
        <w:t>• 25/06/2025 — E-Vino abre 3 filiais simultâneas CIVIT II/ES com SISBAJUD ativo</w:t>
      </w:r>
    </w:p>
    <w:p>
      <w:r>
        <w:rPr>
          <w:rFonts w:ascii="Georgia" w:hAnsi="Georgia"/>
          <w:sz w:val="20"/>
        </w:rPr>
        <w:t>• Jul/2025 — Ari assume CEO Vila Porto Vinhos (ES) · violação non-compete</w:t>
      </w:r>
    </w:p>
    <w:p>
      <w:r>
        <w:rPr>
          <w:rFonts w:ascii="Georgia" w:hAnsi="Georgia"/>
          <w:sz w:val="20"/>
        </w:rPr>
        <w:t>• 21/05/2026 — Vigência Lei 15.410/2026 (Lei Bárbara Penna · tortura financeira)</w:t>
      </w:r>
    </w:p>
    <w:p>
      <w:r>
        <w:rPr>
          <w:rFonts w:ascii="Georgia" w:hAnsi="Georgia"/>
          <w:sz w:val="20"/>
        </w:rPr>
        <w:t>• 10/06/2026 — Data-base · Quantum R$ 631 MM (base) / R$ 1,211 bi (qualificado)</w:t>
      </w:r>
    </w:p>
    <w:p>
      <w:pPr>
        <w:pStyle w:val="Heading1"/>
      </w:pPr>
      <w:r>
        <w:rPr>
          <w:rFonts w:ascii="Helvetica" w:hAnsi="Helvetica"/>
          <w:color w:val="5B1A1A"/>
        </w:rPr>
        <w:t>VI. Quadro societário E-Vino (paradoxo Atas Petroni)</w:t>
      </w:r>
    </w:p>
    <w:p>
      <w:r>
        <w:rPr>
          <w:rFonts w:ascii="Georgia" w:hAnsi="Georgia"/>
          <w:sz w:val="21"/>
        </w:rPr>
        <w:t>Antony Jose Souza Martins · Diretor-Presidente / CEO · 08/07/2025</w:t>
      </w:r>
    </w:p>
    <w:p>
      <w:r>
        <w:rPr>
          <w:rFonts w:ascii="Georgia" w:hAnsi="Georgia"/>
          <w:sz w:val="21"/>
        </w:rPr>
        <w:t>Bernardo Hallak Amaral · Diretor · 26/11/2025</w:t>
      </w:r>
    </w:p>
    <w:p>
      <w:r>
        <w:rPr>
          <w:rFonts w:ascii="Georgia" w:hAnsi="Georgia"/>
          <w:sz w:val="21"/>
        </w:rPr>
        <w:t>Rogério Nascimento Lopes · Diretor · 16/05/2024</w:t>
      </w:r>
    </w:p>
    <w:p>
      <w:r>
        <w:rPr>
          <w:rFonts w:ascii="Georgia" w:hAnsi="Georgia"/>
          <w:sz w:val="21"/>
        </w:rPr>
        <w:t>Patrícia Coulon Perim · Diretora · 18/03/2024</w:t>
      </w:r>
    </w:p>
    <w:p>
      <w:r>
        <w:rPr>
          <w:rFonts w:ascii="Georgia" w:hAnsi="Georgia"/>
          <w:sz w:val="21"/>
        </w:rPr>
        <w:t>Tatiana Vicentin Pavanello · Diretora · 16/08/2024</w:t>
      </w:r>
    </w:p>
    <w:p>
      <w:r>
        <w:rPr>
          <w:rFonts w:ascii="Georgia" w:hAnsi="Georgia"/>
          <w:sz w:val="21"/>
        </w:rPr>
        <w:t>Gabriel Felzenszwalb / Fernando Campora / Ricardo Fernandes de Sousa Costa · Conselheiros · 23/06/2022 (mesmo dia)</w:t>
      </w:r>
    </w:p>
    <w:p>
      <w:r>
        <w:rPr>
          <w:rFonts w:ascii="Georgia" w:hAnsi="Georgia"/>
          <w:sz w:val="21"/>
        </w:rPr>
        <w:t>Antonio Carlos Castro Louro · Conselheiro · 20/12/2024</w:t>
      </w:r>
    </w:p>
    <w:p>
      <w:r>
        <w:rPr>
          <w:rFonts w:ascii="Georgia" w:hAnsi="Georgia"/>
          <w:sz w:val="21"/>
        </w:rPr>
        <w:t>Ivel Cardoso Bittencourt de Castro · Conselheiro · 11/10/2024</w:t>
      </w:r>
    </w:p>
    <w:p>
      <w:r>
        <w:rPr>
          <w:rFonts w:ascii="Georgia" w:hAnsi="Georgia"/>
          <w:b/>
          <w:sz w:val="21"/>
        </w:rPr>
        <w:t>PARADOXO: Ari NÃO consta no QSA público mas Atas Petroni (09/05+29/07/2024 protocolo 14/01/2025) o revalidam como Diretor de Produtos com mandato até 25/05/2026. RETROAÇÃO 8 MESES (lawfare log). Base para reabertura termo final do regime (CC 1571 II + 1576) + litigância má-fé (CPC 80 II e V).</w:t>
      </w:r>
    </w:p>
    <w:p>
      <w:pPr>
        <w:pStyle w:val="Heading1"/>
      </w:pPr>
      <w:r>
        <w:rPr>
          <w:rFonts w:ascii="Helvetica" w:hAnsi="Helvetica"/>
          <w:color w:val="5B1A1A"/>
        </w:rPr>
        <w:t>VII. Quantum partilhável - 5 teses cumulativas</w:t>
      </w:r>
    </w:p>
    <w:p>
      <w:r>
        <w:rPr>
          <w:rFonts w:ascii="Georgia" w:hAnsi="Georgia"/>
          <w:sz w:val="21"/>
        </w:rPr>
        <w:t>T1 - Meação Classe F + ativos paralelos · base R$ 575 MM · qualificado R$ 1.115 MM</w:t>
      </w:r>
    </w:p>
    <w:p>
      <w:r>
        <w:rPr>
          <w:rFonts w:ascii="Georgia" w:hAnsi="Georgia"/>
          <w:sz w:val="21"/>
        </w:rPr>
        <w:t>T2 - Lucros cessantes Saladerie + perda de chance Lucas · R$ 9-21 MM</w:t>
      </w:r>
    </w:p>
    <w:p>
      <w:r>
        <w:rPr>
          <w:rFonts w:ascii="Georgia" w:hAnsi="Georgia"/>
          <w:sz w:val="21"/>
        </w:rPr>
        <w:t>T3 - Carreira abdicada da autora (replacement cost 14 anos sênior) · R$ 18,5-25 MM</w:t>
      </w:r>
    </w:p>
    <w:p>
      <w:r>
        <w:rPr>
          <w:rFonts w:ascii="Georgia" w:hAnsi="Georgia"/>
          <w:sz w:val="21"/>
        </w:rPr>
        <w:t>T4 - CEO familiar - gestão doméstica e filhos PCD F33+F90 · R$ 23,2-40 MM</w:t>
      </w:r>
    </w:p>
    <w:p>
      <w:r>
        <w:rPr>
          <w:rFonts w:ascii="Georgia" w:hAnsi="Georgia"/>
          <w:sz w:val="21"/>
        </w:rPr>
        <w:t>T5 - Danos morais qualificados (LMP + Lei Bárbara Penna) · R$ 5-10 MM</w:t>
      </w:r>
    </w:p>
    <w:p>
      <w:r>
        <w:rPr>
          <w:rFonts w:ascii="Georgia" w:hAnsi="Georgia"/>
          <w:b/>
          <w:sz w:val="21"/>
        </w:rPr>
        <w:t>TOTAL ARTICULADO: R$ 631 MM (base) / R$ 1.211 MM (qualificado)</w:t>
      </w:r>
    </w:p>
    <w:p>
      <w:r>
        <w:rPr>
          <w:rFonts w:ascii="Georgia" w:hAnsi="Georgia"/>
          <w:b/>
          <w:sz w:val="21"/>
        </w:rPr>
        <w:t>Control premium Classe F: defesa apresenta 0,82% (R$ 11,55 MM); realidade é 4/5 cadeiras Comitê Investimentos = controle efetivo. Fator deflacionamento defesa: 122×.</w:t>
      </w:r>
    </w:p>
    <w:p>
      <w:pPr>
        <w:pStyle w:val="Heading1"/>
      </w:pPr>
      <w:r>
        <w:rPr>
          <w:rFonts w:ascii="Helvetica" w:hAnsi="Helvetica"/>
          <w:color w:val="5B1A1A"/>
        </w:rPr>
        <w:t>VIII. 18 padrões jurisprudenciais (Aury)</w:t>
      </w:r>
    </w:p>
    <w:p>
      <w:r>
        <w:rPr>
          <w:rFonts w:ascii="Georgia" w:hAnsi="Georgia"/>
          <w:sz w:val="20"/>
        </w:rPr>
        <w:t>• P1 Desconsideração inversa PJ (REsp 1.236.916/RS Andrighi)</w:t>
      </w:r>
    </w:p>
    <w:p>
      <w:r>
        <w:rPr>
          <w:rFonts w:ascii="Georgia" w:hAnsi="Georgia"/>
          <w:sz w:val="20"/>
        </w:rPr>
        <w:t>• P2 Fraude execução pós-citação (CPC 792 IV + Súmula 375 STJ)</w:t>
      </w:r>
    </w:p>
    <w:p>
      <w:r>
        <w:rPr>
          <w:rFonts w:ascii="Georgia" w:hAnsi="Georgia"/>
          <w:sz w:val="20"/>
        </w:rPr>
        <w:t>• P3 Preclusão CPC 854 §3º</w:t>
      </w:r>
    </w:p>
    <w:p>
      <w:r>
        <w:rPr>
          <w:rFonts w:ascii="Georgia" w:hAnsi="Georgia"/>
          <w:sz w:val="20"/>
        </w:rPr>
        <w:t>• P4 DTVM ≠ conta corrente (Res. CMN 4.770/2019)</w:t>
      </w:r>
    </w:p>
    <w:p>
      <w:r>
        <w:rPr>
          <w:rFonts w:ascii="Georgia" w:hAnsi="Georgia"/>
          <w:sz w:val="20"/>
        </w:rPr>
        <w:t>• P5 Boa-fé refutada conduta posterior (REsp 1.374.050/RS supressio)</w:t>
      </w:r>
    </w:p>
    <w:p>
      <w:r>
        <w:rPr>
          <w:rFonts w:ascii="Georgia" w:hAnsi="Georgia"/>
          <w:sz w:val="20"/>
        </w:rPr>
        <w:t>• P6 Lavagem via FIPs e offshores (Lei 9.613/98 · FATF Manual 2023)</w:t>
      </w:r>
    </w:p>
    <w:p>
      <w:r>
        <w:rPr>
          <w:rFonts w:ascii="Georgia" w:hAnsi="Georgia"/>
          <w:sz w:val="20"/>
        </w:rPr>
        <w:t>• P7 Violência patrimonial qualificada (LMP 7º IV · Lei 14.550/2023)</w:t>
      </w:r>
    </w:p>
    <w:p>
      <w:r>
        <w:rPr>
          <w:rFonts w:ascii="Georgia" w:hAnsi="Georgia"/>
          <w:sz w:val="20"/>
        </w:rPr>
        <w:t>• P8 Cooperação int. tracing offshore (UNCAC · CRS-OCDE · CTA 2024)</w:t>
      </w:r>
    </w:p>
    <w:p>
      <w:r>
        <w:rPr>
          <w:rFonts w:ascii="Georgia" w:hAnsi="Georgia"/>
          <w:sz w:val="20"/>
        </w:rPr>
        <w:t>• P9 STF Tema 707 - meação direito real originário</w:t>
      </w:r>
    </w:p>
    <w:p>
      <w:r>
        <w:rPr>
          <w:rFonts w:ascii="Georgia" w:hAnsi="Georgia"/>
          <w:sz w:val="20"/>
        </w:rPr>
        <w:t>• P10 STJ Súmula 134 - proteção meação contra constrição</w:t>
      </w:r>
    </w:p>
    <w:p>
      <w:r>
        <w:rPr>
          <w:rFonts w:ascii="Georgia" w:hAnsi="Georgia"/>
          <w:sz w:val="20"/>
        </w:rPr>
        <w:t>• P11 Distribuição dinâmica ônus probatório (CPC 373 §1º)</w:t>
      </w:r>
    </w:p>
    <w:p>
      <w:r>
        <w:rPr>
          <w:rFonts w:ascii="Georgia" w:hAnsi="Georgia"/>
          <w:sz w:val="20"/>
        </w:rPr>
        <w:t>• P12 Presunção veracidade por ocultação (CPC 400 I)</w:t>
      </w:r>
    </w:p>
    <w:p>
      <w:r>
        <w:rPr>
          <w:rFonts w:ascii="Georgia" w:hAnsi="Georgia"/>
          <w:sz w:val="20"/>
        </w:rPr>
        <w:t>• P13 Vinculante CNJ 492/2023 perspectiva de gênero</w:t>
      </w:r>
    </w:p>
    <w:p>
      <w:r>
        <w:rPr>
          <w:rFonts w:ascii="Georgia" w:hAnsi="Georgia"/>
          <w:sz w:val="20"/>
        </w:rPr>
        <w:t>• P14 Medidas protetivas patrimoniais (LMP 24 IV)</w:t>
      </w:r>
    </w:p>
    <w:p>
      <w:r>
        <w:rPr>
          <w:rFonts w:ascii="Georgia" w:hAnsi="Georgia"/>
          <w:sz w:val="20"/>
        </w:rPr>
        <w:t>• P15 Litigância má-fé via contraditório (CPC 77 II + 80)</w:t>
      </w:r>
    </w:p>
    <w:p>
      <w:r>
        <w:rPr>
          <w:rFonts w:ascii="Georgia" w:hAnsi="Georgia"/>
          <w:sz w:val="20"/>
        </w:rPr>
        <w:t>• P16 Cumprimento sentença autônomo + tutela urgência</w:t>
      </w:r>
    </w:p>
    <w:p>
      <w:r>
        <w:rPr>
          <w:rFonts w:ascii="Georgia" w:hAnsi="Georgia"/>
          <w:sz w:val="20"/>
        </w:rPr>
        <w:t>• P17 Duração razoável + LINDB art. 20</w:t>
      </w:r>
    </w:p>
    <w:p>
      <w:r>
        <w:rPr>
          <w:rFonts w:ascii="Georgia" w:hAnsi="Georgia"/>
          <w:sz w:val="20"/>
        </w:rPr>
        <w:t>• P18 Belém do Pará + Campo Algodonero (Decreto 1.973/96 + CtIDH 2009)</w:t>
      </w:r>
    </w:p>
    <w:p>
      <w:pPr>
        <w:pStyle w:val="Heading1"/>
      </w:pPr>
      <w:r>
        <w:rPr>
          <w:rFonts w:ascii="Helvetica" w:hAnsi="Helvetica"/>
          <w:color w:val="5B1A1A"/>
        </w:rPr>
        <w:t>IX. Estratégia do Dilema Fechado (3 camadas simultâneas)</w:t>
      </w:r>
    </w:p>
    <w:p>
      <w:r>
        <w:rPr>
          <w:rFonts w:ascii="Georgia" w:hAnsi="Georgia"/>
          <w:sz w:val="21"/>
        </w:rPr>
        <w:t>CAMADA 1: Questão Irrecusável - declaração simples sobre o bloqueio mantido (réu que negar precisa explicar o inexplicável).</w:t>
      </w:r>
    </w:p>
    <w:p>
      <w:r>
        <w:rPr>
          <w:rFonts w:ascii="Georgia" w:hAnsi="Georgia"/>
          <w:sz w:val="21"/>
        </w:rPr>
        <w:t>CAMADA 2: Dilema Fechado - exibição compulsória CPC 400 I (réu não pode ganhar a exibição em nenhum cenário).</w:t>
      </w:r>
    </w:p>
    <w:p>
      <w:r>
        <w:rPr>
          <w:rFonts w:ascii="Georgia" w:hAnsi="Georgia"/>
          <w:sz w:val="21"/>
        </w:rPr>
        <w:t>CAMADA 3: Tutela de Urgência independente - transferência imediata da quota incontroversa (50%) por periculum quantificado (1000+ dias · PCD F33+F90).</w:t>
      </w:r>
    </w:p>
    <w:p>
      <w:r>
        <w:rPr>
          <w:rFonts w:ascii="Georgia" w:hAnsi="Georgia"/>
          <w:b/>
          <w:sz w:val="21"/>
        </w:rPr>
        <w:t>Integração cível-criminal: DEAM + LMP 24 + MP-SP simultâneo + petição cível em 3 camadas. Simultaneidade produz o efeito.</w:t>
      </w:r>
    </w:p>
    <w:p>
      <w:pPr>
        <w:pStyle w:val="Heading1"/>
      </w:pPr>
      <w:r>
        <w:rPr>
          <w:rFonts w:ascii="Helvetica" w:hAnsi="Helvetica"/>
          <w:color w:val="5B1A1A"/>
        </w:rPr>
        <w:t>X. Cenários e timing</w:t>
      </w:r>
    </w:p>
    <w:p>
      <w:r>
        <w:rPr>
          <w:rFonts w:ascii="Georgia" w:hAnsi="Georgia"/>
          <w:sz w:val="21"/>
        </w:rPr>
        <w:t>MELHOR (15-20%): R$ 1,15-1,21 bi · IDPJ + indisponibilidade + MLAT</w:t>
      </w:r>
    </w:p>
    <w:p>
      <w:r>
        <w:rPr>
          <w:rFonts w:ascii="Georgia" w:hAnsi="Georgia"/>
          <w:sz w:val="21"/>
        </w:rPr>
        <w:t>PROVÁVEL (50-55%): R$ 631-820 MM · IDPJ parcial · acordo mediado · vesting 36m</w:t>
      </w:r>
    </w:p>
    <w:p>
      <w:r>
        <w:rPr>
          <w:rFonts w:ascii="Georgia" w:hAnsi="Georgia"/>
          <w:sz w:val="21"/>
        </w:rPr>
        <w:t>RISCO (25-30%): R$ 280-450 MM · IDPJ indeferido · agravo · execução faseada</w:t>
      </w:r>
    </w:p>
    <w:p>
      <w:r>
        <w:rPr>
          <w:rFonts w:ascii="Georgia" w:hAnsi="Georgia"/>
          <w:b/>
          <w:sz w:val="21"/>
        </w:rPr>
        <w:t>TIMING CRÍTICO: janela ótima fecha no menor entre (i) exit Vinci, (ii) nova cisão RT127/Bonifácio, (iii) IPO/venda secundária. Prazo: até 30 dias da data-base (10/06/2026).</w:t>
      </w:r>
    </w:p>
    <w:p>
      <w:pPr>
        <w:pStyle w:val="Heading1"/>
      </w:pPr>
      <w:r>
        <w:rPr>
          <w:rFonts w:ascii="Helvetica" w:hAnsi="Helvetica"/>
          <w:color w:val="5B1A1A"/>
        </w:rPr>
        <w:t>XI. Recomendação operativa M&amp;A</w:t>
      </w:r>
    </w:p>
    <w:p>
      <w:r>
        <w:rPr>
          <w:rFonts w:ascii="Georgia" w:hAnsi="Georgia"/>
          <w:sz w:val="21"/>
        </w:rPr>
        <w:t>1. Protocolo imediato (7d): petição-mestre T1-T5 + tutela de evidência + cautelar indisponibilidade Classe F + Bonifácio.</w:t>
      </w:r>
    </w:p>
    <w:p>
      <w:r>
        <w:rPr>
          <w:rFonts w:ascii="Georgia" w:hAnsi="Georgia"/>
          <w:sz w:val="21"/>
        </w:rPr>
        <w:t>2. Protocolo coordenado (15d): notícia-crime GAECO/MP-SP com 8 tipificações (estelionato qualificado, falsidade ideológica, lavagem, sonegação, fraude execução, organização criminosa, violência patrimonial, tortura financeira).</w:t>
      </w:r>
    </w:p>
    <w:p>
      <w:r>
        <w:rPr>
          <w:rFonts w:ascii="Georgia" w:hAnsi="Georgia"/>
          <w:sz w:val="21"/>
        </w:rPr>
        <w:t>3. Emenda processual (30d): atualizar MPU patrimonial com Bonifácio, VOLIMO, Vila Porto Vinhos, Interbeverages.</w:t>
      </w:r>
    </w:p>
    <w:p>
      <w:r>
        <w:rPr>
          <w:rFonts w:ascii="Georgia" w:hAnsi="Georgia"/>
          <w:sz w:val="21"/>
        </w:rPr>
        <w:t>4. IDPJ ampliado (até 15/05/2026): novos alvos via Atas Petroni + arquitetura Limoncello (todos do HUB 1 e 2).</w:t>
      </w:r>
    </w:p>
    <w:p>
      <w:r>
        <w:rPr>
          <w:rFonts w:ascii="Georgia" w:hAnsi="Georgia"/>
          <w:sz w:val="21"/>
        </w:rPr>
        <w:t>5. Diário de provas SHA-256: cadastro em 72h de toda movimentação societária com timestamp notarial.</w:t>
      </w:r>
    </w:p>
    <w:p>
      <w:r>
        <w:rPr>
          <w:rFonts w:ascii="Georgia" w:hAnsi="Georgia"/>
          <w:sz w:val="21"/>
        </w:rPr>
        <w:t>6. MLAT BR-Singapura via DRCI/MJ para UBO da JP2R PTE LTD; CRS-OCDE para Anacapri/Brescia/Cetara LLC.</w:t>
      </w:r>
    </w:p>
    <w:p>
      <w:r>
        <w:rPr>
          <w:rFonts w:ascii="Georgia" w:hAnsi="Georgia"/>
          <w:sz w:val="21"/>
        </w:rPr>
        <w:t>7. Representação CVM (RCVM 175/22 art. 39 + Ofício-Circular 2/2025) - auditoria especial Ajaccio + Bonifácio + Volimo + Avila + FRAM/OSLO.</w:t>
      </w:r>
    </w:p>
    <w:p>
      <w:r>
        <w:rPr>
          <w:rFonts w:ascii="Georgia" w:hAnsi="Georgia"/>
          <w:sz w:val="21"/>
        </w:rPr>
        <w:t>8. RIF COAF de ofício para Rota 1, Rota 3 e Rota 5.</w:t>
      </w:r>
    </w:p>
    <w:p>
      <w:pPr>
        <w:pStyle w:val="Heading1"/>
      </w:pPr>
      <w:r>
        <w:rPr>
          <w:rFonts w:ascii="Helvetica" w:hAnsi="Helvetica"/>
          <w:color w:val="5B1A1A"/>
        </w:rPr>
        <w:t>XII. Conclusão integrada</w:t>
      </w:r>
    </w:p>
    <w:p>
      <w:r>
        <w:rPr>
          <w:rFonts w:ascii="Georgia" w:hAnsi="Georgia"/>
          <w:b/>
          <w:sz w:val="21"/>
        </w:rPr>
        <w:t>O "deal Evino" de março/2022 (R$ 650 MM Vinci-líder) não foi apenas growth equity - foi instrumento de conversão de patrimônio matrimonial líquido em patrimônio opaco em 5 camadas (operacional → transição → financeira → gestão → offshore), com circularidade documentada Fram → JP2R Singapura → Ajaccio → E-Vino → retorno. A arquitetura é cronometricamente coerente: cada movimento coincide milimetricamente com etapas processuais do divórcio.</w:t>
      </w:r>
    </w:p>
    <w:p>
      <w:r>
        <w:rPr>
          <w:rFonts w:ascii="Georgia" w:hAnsi="Georgia"/>
          <w:sz w:val="21"/>
        </w:rPr>
        <w:t>Sob Bayes, cada Black Swan subsequente desloca a leitura benigna ("ressaca pós-M&amp;A") em direção à forense ("deflacionamento programado para suprimir base da meação"). 7 Black Swans + 5 rotas AML + retroação 8 meses Atas Petroni + Bonifácio durante litígio = prova indiciária qualificada (CPC 374 IV).</w:t>
      </w:r>
    </w:p>
    <w:p>
      <w:r>
        <w:rPr>
          <w:rFonts w:ascii="Georgia" w:hAnsi="Georgia"/>
          <w:b/>
          <w:sz w:val="21"/>
        </w:rPr>
        <w:t>Janela aberta - forced seller position (Vinci quer sair, VINH11 ativas, Bonifácio sem ativos a proteger). A força da lei pode restaurar o que a lei da força fragmentou.</w:t>
      </w:r>
    </w:p>
    <w:p>
      <w:pPr>
        <w:pStyle w:val="Heading1"/>
      </w:pPr>
      <w:r>
        <w:rPr>
          <w:rFonts w:ascii="Helvetica" w:hAnsi="Helvetica"/>
          <w:color w:val="5B1A1A"/>
        </w:rPr>
        <w:t>XIII. Nota metodológica</w:t>
      </w:r>
    </w:p>
    <w:p>
      <w:r>
        <w:rPr>
          <w:rFonts w:ascii="Georgia" w:hAnsi="Georgia"/>
          <w:i/>
          <w:sz w:val="21"/>
        </w:rPr>
        <w:t>CPC 472. Em tese sob CF 5º LVII e LV. Bases primárias: Informes CVM, Comunicados Administração, JUCESP, Singapore Business Directory, ANBIMA, Mais Retorno, Warren, Receita. PFs anonimizadas em circulação externa. Conversão em peça subscrita por OAB (Aury Lopes Jr. penal; Michele Hilgenberg OAB/SC 41.607 + Luiz Guieseler Junior OAB/PR 44.937 cível) + laudo CRC + ata notarial antes do uso processual.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