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6"/>
        </w:rPr>
        <w:t>CONFIDENCIAL · DOCUMENTO 43 · VISUAL LAW V2 · 4 INFOGRÁFICOS PERICIAIS</w:t>
      </w:r>
    </w:p>
    <w:p>
      <w:pPr>
        <w:jc w:val="center"/>
      </w:pPr>
      <w:r>
        <w:rPr>
          <w:i/>
          <w:sz w:val="20"/>
        </w:rPr>
        <w:t>Caso Gorenstein · Autos 1006744-58.2023.8.26.0011 · 1ª VF Pinheiros/SP · 15/06/2026</w:t>
      </w:r>
    </w:p>
    <w:p>
      <w:pPr>
        <w:jc w:val="left"/>
      </w:pPr>
      <w:r>
        <w:rPr>
          <w:i/>
          <w:sz w:val="20"/>
        </w:rPr>
        <w:br/>
        <w:t>Validação técnica dos 3 infográficos do Doc 40 (Organograma da Ocultação · Diagrama Sankey de Fluxo Financeiro · Mapa Aéreo de Jurisdições) + INFOGRÁFICO 4 NOVO: Linha do Tempo da Fraude (filme causal). Subscrição: Dr. Luiz Carlos Guieseler Junior OAB/PR 44.937 + Dra. Michele Hilgenberg OAB/SC 41.607.</w:t>
      </w:r>
    </w:p>
    <w:p>
      <w:r>
        <w:drawing>
          <wp:inline xmlns:a="http://schemas.openxmlformats.org/drawingml/2006/main" xmlns:pic="http://schemas.openxmlformats.org/drawingml/2006/picture">
            <wp:extent cx="9000000" cy="6366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pag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36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Validação técnica dos 3 infográficos + Roteiro do Infográfico 4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000000" cy="6366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pag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36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· Linha do Tempo da Fraude · 4 sincronizações críticas (15+4+8+46 dias)</w:t>
      </w:r>
    </w:p>
    <w:p>
      <w:r>
        <w:br w:type="page"/>
      </w:r>
    </w:p>
    <w:p>
      <w:r>
        <w:rPr>
          <w:i/>
          <w:sz w:val="20"/>
        </w:rPr>
        <w:t>NOTA METODOLÓGICA · Linhas do tempo argumentam (Hagan/Haapio). Cérebro humano reconhece padrões temporais instantaneamente (Buonomano 2017). As 4 sincronizações nucleares (15+4+8+46 dias) transformam objeção dispersa em padrão visualmente irrefutável. Subscrição: Dr. Luiz Carlos Guieseler Junior + Dra. Michele Hilgenberg. CPC 472 + CF 5º LVII.</w:t>
      </w:r>
    </w:p>
    <w:sectPr w:rsidR="00FC693F" w:rsidRPr="0006063C" w:rsidSect="00034616">
      <w:pgSz w:w="12240" w:h="158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