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52 — Carta Consolidada v4 — Diagnóstico + 2 Variantes</w:t>
      </w:r>
    </w:p>
    <w:p>
      <w:pPr>
        <w:jc w:val="center"/>
      </w:pPr>
      <w:r>
        <w:rPr>
          <w:i/>
          <w:sz w:val="18"/>
        </w:rPr>
        <w:t>3 riscos operacionais sinalizados · 2 variantes de assinatura · 5 dias úteis · versão final pronta para envio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