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 DE APOIO (CPC art. 472)</w:t>
      </w:r>
    </w:p>
    <w:p>
      <w:pPr>
        <w:spacing w:before="400"/>
        <w:jc w:val="center"/>
      </w:pPr>
      <w:r>
        <w:rPr>
          <w:b/>
          <w:color w:val="1B3A5B"/>
          <w:sz w:val="36"/>
        </w:rPr>
        <w:t>Relatório Financeiro Consolidado</w:t>
      </w:r>
    </w:p>
    <w:p>
      <w:pPr>
        <w:jc w:val="center"/>
      </w:pPr>
      <w:r>
        <w:rPr>
          <w:i/>
          <w:color w:val="555555"/>
          <w:sz w:val="28"/>
        </w:rPr>
        <w:t>Pensão Alimentícia · Período de 01/01/2025 a 30/06/2026</w:t>
      </w:r>
    </w:p>
    <w:p>
      <w:pPr>
        <w:spacing w:before="280"/>
        <w:jc w:val="center"/>
      </w:pPr>
      <w:r>
        <w:rPr>
          <w:b/>
          <w:sz w:val="22"/>
        </w:rPr>
        <w:t>Devedor: Ari Gorenstein</w:t>
      </w:r>
    </w:p>
    <w:p>
      <w:pPr>
        <w:jc w:val="center"/>
      </w:pPr>
      <w:r>
        <w:rPr>
          <w:b/>
          <w:sz w:val="22"/>
        </w:rPr>
        <w:t>Credores: Millena Onesti Gorenstein, Caio Onesti Gorenstein e Maia Onesti Gorenstein</w:t>
      </w:r>
    </w:p>
    <w:p>
      <w:pPr>
        <w:jc w:val="center"/>
      </w:pPr>
      <w:r>
        <w:rPr>
          <w:i/>
          <w:color w:val="555555"/>
          <w:sz w:val="20"/>
        </w:rPr>
        <w:t>Memória elaborada conforme CC arts. 354 (imputação) e 406 (juros legais SELIC · Lei 14.905/2024)</w:t>
      </w:r>
    </w:p>
    <w:p>
      <w:pPr>
        <w:jc w:val="center"/>
      </w:pPr>
      <w:r>
        <w:rPr>
          <w:color w:val="555555"/>
          <w:sz w:val="20"/>
        </w:rPr>
        <w:t>São Paulo, junho de 2026 — versão final para revisão e protocolo</w:t>
      </w:r>
    </w:p>
    <w:p>
      <w:pPr>
        <w:spacing w:before="400"/>
        <w:jc w:val="center"/>
      </w:pPr>
      <w:r>
        <w:rPr>
          <w:b/>
          <w:color w:val="1B3A5B"/>
          <w:sz w:val="22"/>
        </w:rPr>
        <w:t>PASSIVO TOTAL APURADO EM 30 DE JUNHO DE 2026</w:t>
      </w:r>
    </w:p>
    <w:p>
      <w:pPr>
        <w:jc w:val="center"/>
      </w:pPr>
      <w:r>
        <w:rPr>
          <w:b/>
          <w:color w:val="B00020"/>
          <w:sz w:val="44"/>
        </w:rPr>
        <w:t>R$ 535.238,01</w:t>
      </w:r>
    </w:p>
    <w:p>
      <w:pPr>
        <w:jc w:val="center"/>
      </w:pPr>
      <w:r>
        <w:rPr>
          <w:i/>
          <w:color w:val="555555"/>
          <w:sz w:val="18"/>
        </w:rPr>
        <w:t>Cenário consolidado · todos os pagamentos do alimentante (diretos + intermediados)</w:t>
      </w:r>
    </w:p>
    <w:p>
      <w:r>
        <w:br w:type="page"/>
      </w:r>
    </w:p>
    <w:p>
      <w:pPr>
        <w:pStyle w:val="Heading2"/>
      </w:pPr>
      <w:r>
        <w:rPr>
          <w:color w:val="1B3A5B"/>
        </w:rPr>
        <w:t>I — Identificação do feito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Título executivo (filhos)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Sentença de 11/04/2024 · 2ª VF Pinheiros · Juiz Augusto Drummond Lepage · proc. 1006738-51.2023.8.26.0011 · fls. 1376-1382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Quantum filhos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R$ 24.300,00 mensais + plano de saúde direto · vencimento dia 1º · desde a citação · honorários 10% sobre anuidade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Pensão Millena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5 SM nacional + R$ 18.400,00/mês (alinhada à menção de 'alimentos ressarcitórios 25k/mês' · fls. 1380)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Conta de recebimento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Bradesco · Ag. 884 · Cta. 190534-1 · Millena Onesti Gorenstein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Período sob análise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01/01/2025 a 30/06/2026 — 18 competências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Patronos atuais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Dra. Michele P. Hilgenberg (OAB/SC 41.607) + Dr. Luiz Carlos Guieseler Junior (OAB/PR 44.937) · procuração 03/06/2026</w:t>
            </w:r>
          </w:p>
        </w:tc>
      </w:tr>
    </w:tbl>
    <w:p/>
    <w:p>
      <w:pPr>
        <w:pStyle w:val="Heading2"/>
      </w:pPr>
      <w:r>
        <w:rPr>
          <w:color w:val="1B3A5B"/>
        </w:rPr>
        <w:t>II — Premissas e metodologia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Pensão Millena (5 SM + R$ 18.400)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R$ 25.990,00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R$ 26.500,00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Pensão Caio + Maia (sentença)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R$ 24.300,00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R$ 24.300,00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devido por competência mensal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R$ 50.290,00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R$ 50.800,00</w:t>
            </w:r>
          </w:p>
        </w:tc>
      </w:tr>
    </w:tbl>
    <w:p/>
    <w:p>
      <w:r>
        <w:rPr>
          <w:b/>
          <w:color w:val="C89000"/>
          <w:sz w:val="20"/>
        </w:rPr>
        <w:t xml:space="preserve">Imputação em pagamento (CC art. 354) — </w:t>
      </w:r>
      <w:r>
        <w:rPr>
          <w:i/>
          <w:sz w:val="20"/>
        </w:rPr>
        <w:t>"Havendo capital e juros, o pagamento imputar-se-á primeiro nos juros vencidos, e depois no capital, salvo estipulação em contrário, ou se o credor passar a quitação por conta do capital."</w:t>
      </w:r>
    </w:p>
    <w:p>
      <w:r>
        <w:rPr>
          <w:b/>
          <w:color w:val="C89000"/>
          <w:sz w:val="20"/>
        </w:rPr>
        <w:t xml:space="preserve">Juros legais (CC art. 406 · Lei 14.905/2024) — </w:t>
      </w:r>
      <w:r>
        <w:rPr>
          <w:i/>
          <w:sz w:val="20"/>
        </w:rPr>
        <w:t>SELIC, equivalente mensal aproximada de 0,93% capitalizada compostamente desde o vencimento até o pagamento ou até a data de referência (30/06/2026).</w:t>
      </w:r>
    </w:p>
    <w:p>
      <w:r>
        <w:rPr>
          <w:b/>
          <w:color w:val="C89000"/>
          <w:sz w:val="20"/>
        </w:rPr>
        <w:t xml:space="preserve">Vencimento mensal (Sentença fls. 1382) — </w:t>
      </w:r>
      <w:r>
        <w:rPr>
          <w:i/>
          <w:sz w:val="20"/>
        </w:rPr>
        <w:t>Dia 1º do mês, conforme dispositivo da sentença.</w:t>
      </w:r>
    </w:p>
    <w:p/>
    <w:p>
      <w:pPr>
        <w:pStyle w:val="Heading2"/>
      </w:pPr>
      <w:r>
        <w:rPr>
          <w:color w:val="1B3A5B"/>
        </w:rPr>
        <w:t>III — Devido total no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Discriminação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12 competências de 2025 × R$ 50.290,00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603.480,00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6 competências de 2026 × R$ 50.800,00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304.800,00</w:t>
            </w:r>
          </w:p>
        </w:tc>
      </w:tr>
      <w:tr>
        <w:tc>
          <w:tcPr>
            <w:tcW w:type="dxa" w:w="5156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Devido total nominal</w:t>
            </w:r>
          </w:p>
        </w:tc>
        <w:tc>
          <w:tcPr>
            <w:tcW w:type="dxa" w:w="5156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908.280,00</w:t>
            </w:r>
          </w:p>
        </w:tc>
      </w:tr>
    </w:tbl>
    <w:p/>
    <w:p>
      <w:pPr>
        <w:pStyle w:val="Heading2"/>
      </w:pPr>
      <w:r>
        <w:rPr>
          <w:color w:val="1B3A5B"/>
        </w:rPr>
        <w:t>IV — Pagamentos recebidos do alimentante</w:t>
      </w:r>
    </w:p>
    <w:p>
      <w:r>
        <w:rPr>
          <w:sz w:val="21"/>
        </w:rPr>
        <w:t>Computam-se nesta memória todos os pagamentos identificados nos extratos bancários da Sra. Millena, divididos em duas modalidades: (a) pagamentos diretos por PIX em nome próprio do alimentante; (b) repasses dos cumprimentos provisórios de alimentos, recebidos por intermédio das bancas anteriores constituídas pela alimentada (Cantagallo &amp; Cantagal e Fabio Corrêa Eleutério), em razão de alvarás e liberações judiciais decorrentes de execuções alimentares — todos imputáveis ao devedor.</w:t>
      </w:r>
    </w:p>
    <w:p/>
    <w:p>
      <w:r>
        <w:rPr>
          <w:b/>
          <w:color w:val="B00020"/>
          <w:sz w:val="22"/>
        </w:rPr>
        <w:t>IV.A — PIX diretos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Remetente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23/01/2026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78.521,53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01/04/2026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50.000,00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01/04/2026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23.807,55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04/05/2026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24.300,00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04/05/2026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6.600,00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03/06/2026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24.300,00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09/06/2026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6.600,00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Subtotal PIX direto</w:t>
            </w:r>
          </w:p>
        </w:tc>
        <w:tc>
          <w:tcPr>
            <w:tcW w:type="dxa" w:w="3438"/>
            <w:shd w:val="clear" w:color="auto" w:fill="1B3A5B"/>
          </w:tcPr>
          <w:p/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214.129,08</w:t>
            </w:r>
          </w:p>
        </w:tc>
      </w:tr>
    </w:tbl>
    <w:p/>
    <w:p>
      <w:r>
        <w:rPr>
          <w:b/>
          <w:color w:val="C89000"/>
          <w:sz w:val="22"/>
        </w:rPr>
        <w:t>IV.B — Repasses via bancas anteriores (cumprimentos provisórios)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Intermediário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04/04/2025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PIX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22.710,04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16/06/2025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PIX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7.100,78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26/06/2025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88.068,75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16/10/2025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Fabio Corrêa Eleutério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74.293,24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23/10/2025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Fabio Corrêa Eleutério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46.982,97</w:t>
            </w:r>
          </w:p>
        </w:tc>
      </w:tr>
      <w:tr>
        <w:tc>
          <w:tcPr>
            <w:tcW w:type="dxa" w:w="257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Subtotal via bancas</w:t>
            </w:r>
          </w:p>
        </w:tc>
        <w:tc>
          <w:tcPr>
            <w:tcW w:type="dxa" w:w="2578"/>
            <w:shd w:val="clear" w:color="auto" w:fill="1B3A5B"/>
          </w:tcPr>
          <w:p/>
        </w:tc>
        <w:tc>
          <w:tcPr>
            <w:tcW w:type="dxa" w:w="2578"/>
            <w:shd w:val="clear" w:color="auto" w:fill="1B3A5B"/>
          </w:tcPr>
          <w:p/>
        </w:tc>
        <w:tc>
          <w:tcPr>
            <w:tcW w:type="dxa" w:w="257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239.155,78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2"/>
              </w:rPr>
              <w:t>TOTAL DE PAGAMENTOS NO PERÍODO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2"/>
              </w:rPr>
              <w:t>R$ 453.284,86</w:t>
            </w:r>
          </w:p>
        </w:tc>
      </w:tr>
    </w:tbl>
    <w:p/>
    <w:p>
      <w:pPr>
        <w:pStyle w:val="Heading2"/>
      </w:pPr>
      <w:r>
        <w:rPr>
          <w:color w:val="1B3A5B"/>
        </w:rPr>
        <w:t>V — Cronologia mensal · amortização CC 354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Competência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Principal pago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Juros pagos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Principal rem.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Juros acum.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01/2025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2.195,58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02/2025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2.301,18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03/2025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3.231,96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04/2025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3.211,33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05/2025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3.539,66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06/2025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3.848,50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07/2025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4.436,81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08/2025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4.364,88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09/2025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19.311,75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4.523,21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30.978,25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201,39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10/2025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4.403,05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11/2025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3.882,37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12/2025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3.383,21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01/2026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2.901,37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02/2026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2.390,13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03/2026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1.932,56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04/2026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1.430,54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05/2026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949,27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06/2026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456,62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TOTAIS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908.280,00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421.631,75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31.653,11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486.648,25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21.930,50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—</w:t>
            </w:r>
          </w:p>
        </w:tc>
      </w:tr>
    </w:tbl>
    <w:p>
      <w:r>
        <w:rPr>
          <w:i/>
          <w:sz w:val="19"/>
        </w:rPr>
        <w:t>Síntese das parcelas: 8 quitadas (jan/2025 a ago/2025), 1 parcial (set/2025) e 9 em aberto (out/2025 a jun/2026). A imputação cronológica determina que os pagamentos efetuados em 2026 — inclusive os PIX diretos — recaiam sobre as parcelas mais antigas em aberto.</w:t>
      </w:r>
    </w:p>
    <w:p/>
    <w:p>
      <w:pPr>
        <w:pStyle w:val="Heading2"/>
      </w:pPr>
      <w:r>
        <w:rPr>
          <w:color w:val="1B3A5B"/>
        </w:rPr>
        <w:t>VI — Saúde não reembolsada</w:t>
      </w:r>
    </w:p>
    <w:p>
      <w:r>
        <w:rPr>
          <w:sz w:val="21"/>
        </w:rPr>
        <w:t xml:space="preserve">A sentença determinou expressamente o </w:t>
      </w:r>
      <w:r>
        <w:rPr>
          <w:b/>
          <w:sz w:val="21"/>
        </w:rPr>
        <w:t xml:space="preserve">pagamento direto do plano de saúde dos filhos </w:t>
      </w:r>
      <w:r>
        <w:rPr>
          <w:sz w:val="21"/>
        </w:rPr>
        <w:t xml:space="preserve">pelo alimentante. O último crédito de reembolso Porto Seguro ocorreu em </w:t>
      </w:r>
      <w:r>
        <w:rPr>
          <w:b/>
          <w:sz w:val="21"/>
        </w:rPr>
        <w:t>02/02/2026 (R$ 900,00 · doc. 1629235)</w:t>
      </w:r>
      <w:r>
        <w:rPr>
          <w:sz w:val="21"/>
        </w:rPr>
        <w:t>. A partir dessa data, foram pagas diretamente pela alimentada 16 notas fiscais, totalizando R$ 25.900,00 sem ressarcimento.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Prestador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Qt. NFs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Maria Inês Giora (psicanálise · Caio + Milena)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18.000,00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Elaine Cristina R. Misiti (psicoterapia · Maia)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4.500,00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CIDEP · Dr. Procopio Calliari (endocrino. ped. CID E34)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3.400,00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· principal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25.900,00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+ Juros SELIC acumulados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759,26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Saldo saúde a 30/06/2026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26.659,26</w:t>
            </w:r>
          </w:p>
        </w:tc>
      </w:tr>
    </w:tbl>
    <w:p/>
    <w:p>
      <w:pPr>
        <w:pStyle w:val="Heading2"/>
      </w:pPr>
      <w:r>
        <w:rPr>
          <w:color w:val="1B3A5B"/>
        </w:rPr>
        <w:t>VII — Síntese do passivo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Valor (R$)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Principal remanescente · alimentar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486.648,25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Juros SELIC acumulados · alimentar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21.930,50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Principal · saúde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25.900,00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Juros SELIC acumulados · saúde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759,26</w:t>
            </w:r>
          </w:p>
        </w:tc>
      </w:tr>
      <w:tr>
        <w:tc>
          <w:tcPr>
            <w:tcW w:type="dxa" w:w="5156"/>
            <w:shd w:val="clear" w:color="auto" w:fill="B000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PASSIVO TOTAL ATUALIZADO 30/06/2026</w:t>
            </w:r>
          </w:p>
        </w:tc>
        <w:tc>
          <w:tcPr>
            <w:tcW w:type="dxa" w:w="5156"/>
            <w:shd w:val="clear" w:color="auto" w:fill="B000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535.238,01</w:t>
            </w:r>
          </w:p>
        </w:tc>
      </w:tr>
    </w:tbl>
    <w:p/>
    <w:p>
      <w:pPr>
        <w:pStyle w:val="Heading2"/>
      </w:pPr>
      <w:r>
        <w:rPr>
          <w:color w:val="B00020"/>
        </w:rPr>
        <w:t>VIII — Fator insegurança</w:t>
      </w:r>
    </w:p>
    <w:p>
      <w:r>
        <w:rPr>
          <w:b/>
          <w:color w:val="B00020"/>
          <w:sz w:val="21"/>
        </w:rPr>
        <w:t xml:space="preserve">1. </w:t>
      </w:r>
      <w:r>
        <w:rPr>
          <w:sz w:val="21"/>
        </w:rPr>
        <w:t>Entre 01/01/2025 e 03/04/2025 — durante 93 dias corridos no início do período — a Sra. Millena não recebeu qualquer valor referente à pensão alimentícia. Lacunas longas se repetiram (jul-set/2025; nov/2025-jan/2026; fev-mar/2026; mai-jun/2026).</w:t>
      </w:r>
    </w:p>
    <w:p>
      <w:r>
        <w:rPr>
          <w:b/>
          <w:color w:val="B00020"/>
          <w:sz w:val="21"/>
        </w:rPr>
        <w:t xml:space="preserve">2. </w:t>
      </w:r>
      <w:r>
        <w:rPr>
          <w:sz w:val="21"/>
        </w:rPr>
        <w:t>Os pagamentos recebidos no período se concentraram em 8 datas isoladas ao longo de 18 meses, sem cronograma, sem aviso prévio e em valores arbitrários, inviabilizando qualquer planejamento orçamentário.</w:t>
      </w:r>
    </w:p>
    <w:p>
      <w:r>
        <w:rPr>
          <w:b/>
          <w:color w:val="B00020"/>
          <w:sz w:val="21"/>
        </w:rPr>
        <w:t xml:space="preserve">3. </w:t>
      </w:r>
      <w:r>
        <w:rPr>
          <w:sz w:val="21"/>
        </w:rPr>
        <w:t>Despesas fixas mensais superam R$ 30.000,00 e correm em débito automático, sem tolerância à inadimplência do alimentante.</w:t>
      </w:r>
    </w:p>
    <w:p>
      <w:r>
        <w:rPr>
          <w:b/>
          <w:color w:val="B00020"/>
          <w:sz w:val="21"/>
        </w:rPr>
        <w:t xml:space="preserve">4. </w:t>
      </w:r>
      <w:r>
        <w:rPr>
          <w:sz w:val="21"/>
        </w:rPr>
        <w:t>Para sustentar os filhos, a alimentada resgatou R$ 677.857,67 do próprio Plano Vida e Previdência em 9 saques (dano distinto · ação cível autônoma).</w:t>
      </w:r>
    </w:p>
    <w:p>
      <w:r>
        <w:rPr>
          <w:b/>
          <w:color w:val="B00020"/>
          <w:sz w:val="21"/>
        </w:rPr>
        <w:t xml:space="preserve">5. </w:t>
      </w:r>
      <w:r>
        <w:rPr>
          <w:sz w:val="21"/>
        </w:rPr>
        <w:t>Os pagamentos diretos efetivos só começaram em 23/01/2026 — após 387 dias do início do período. Em 2025, NÃO HOUVE qualquer pagamento espontâneo: todos os créditos foram decorrentes da força executória do Estado (alvarás dos cumprimentos provisórios).</w:t>
      </w:r>
    </w:p>
    <w:p>
      <w:r>
        <w:rPr>
          <w:b/>
          <w:color w:val="B00020"/>
          <w:sz w:val="21"/>
        </w:rPr>
        <w:t xml:space="preserve">6. </w:t>
      </w:r>
      <w:r>
        <w:rPr>
          <w:sz w:val="21"/>
        </w:rPr>
        <w:t>O alimentante conhece exatamente o quantum: os PIX de 04/05 e 03/06/2026 são em valor matematicamente idêntico ao da sentença. Não há equívoco — há opção deliberada.</w:t>
      </w:r>
    </w:p>
    <w:p>
      <w:r>
        <w:rPr>
          <w:b/>
          <w:color w:val="B00020"/>
          <w:sz w:val="21"/>
        </w:rPr>
        <w:t xml:space="preserve">7. </w:t>
      </w:r>
      <w:r>
        <w:rPr>
          <w:sz w:val="21"/>
        </w:rPr>
        <w:t>O cenário configura, em tese, violência patrimonial (LMP art. 7º, IV): a alimentada apenas vê o dinheiro saindo de sua conta em débitos automáticos contínuos, enquanto o crédito do alimentante chega de forma arbitrária e majoritariamente forçada.</w:t>
      </w:r>
    </w:p>
    <w:p/>
    <w:p>
      <w:pPr>
        <w:pStyle w:val="Heading2"/>
      </w:pPr>
      <w:r>
        <w:rPr>
          <w:color w:val="1B3A5B"/>
        </w:rPr>
        <w:t>IX — Capacidade econômica do alimentante (sentença)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Elemento patrimonial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Fonte (fls.)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DIRPF 2021 → 2022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R$ 8,47 MM → R$ 32,23 MM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Renda não tributável 2022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R$ 1.329.826,70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Ganhos de capital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R$ 10.400.646,61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1380-1381</w:t>
            </w:r>
          </w:p>
        </w:tc>
      </w:tr>
      <w:tr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Bloqueio SISBAJUD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b/>
                <w:sz w:val="20"/>
              </w:rPr>
              <w:t>R$ 95.000.000,00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324-332 e 1381</w:t>
            </w:r>
          </w:p>
        </w:tc>
      </w:tr>
      <w:tr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Carteira FRAM Capital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b/>
                <w:sz w:val="20"/>
              </w:rPr>
              <w:t>R$ 66.469.760,77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1381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E-Vino + Apoio Administrativo (2022)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R$ 1.200.000,00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1381</w:t>
            </w:r>
          </w:p>
        </w:tc>
      </w:tr>
    </w:tbl>
    <w:p>
      <w:r>
        <w:rPr>
          <w:sz w:val="21"/>
        </w:rPr>
        <w:t xml:space="preserve">A própria sentença concluiu — em razão dessa capacidade — pela imposição de 90% das despesas dos filhos ao alimentante. </w:t>
      </w:r>
      <w:r>
        <w:rPr>
          <w:b/>
          <w:color w:val="B00020"/>
          <w:sz w:val="21"/>
        </w:rPr>
        <w:t>Inexiste fundamento econômico para o inadimplemento.</w:t>
      </w:r>
    </w:p>
    <w:p/>
    <w:p>
      <w:pPr>
        <w:pStyle w:val="Heading2"/>
      </w:pPr>
      <w:r>
        <w:rPr>
          <w:color w:val="1B3A5B"/>
        </w:rPr>
        <w:t>X — Conclusões e providências sugeridas</w:t>
      </w:r>
    </w:p>
    <w:p>
      <w:r>
        <w:rPr>
          <w:b/>
          <w:color w:val="B00020"/>
          <w:sz w:val="21"/>
        </w:rPr>
        <w:t xml:space="preserve">C-1. </w:t>
      </w:r>
      <w:r>
        <w:rPr>
          <w:sz w:val="21"/>
        </w:rPr>
        <w:t>O passivo alimentar atualizado em 30/06/2026 totaliza R$ 535.238,01, sendo R$ 508.578,75 referentes ao débito alimentar consolidado e R$ 26.659,26 referentes a despesas de saúde dos filhos pagas sem reembolso.</w:t>
      </w:r>
    </w:p>
    <w:p>
      <w:r>
        <w:rPr>
          <w:b/>
          <w:color w:val="B00020"/>
          <w:sz w:val="21"/>
        </w:rPr>
        <w:t xml:space="preserve">C-2. </w:t>
      </w:r>
      <w:r>
        <w:rPr>
          <w:sz w:val="21"/>
        </w:rPr>
        <w:t>Em todo o exercício de 2025 (12 meses), o alimentante não realizou qualquer pagamento espontâneo. Os R$ 239.155,78 creditados nesse período decorreram de força executória do Estado, intermediada pelas bancas anteriores.</w:t>
      </w:r>
    </w:p>
    <w:p>
      <w:r>
        <w:rPr>
          <w:b/>
          <w:color w:val="B00020"/>
          <w:sz w:val="21"/>
        </w:rPr>
        <w:t xml:space="preserve">C-3. </w:t>
      </w:r>
      <w:r>
        <w:rPr>
          <w:sz w:val="21"/>
        </w:rPr>
        <w:t>Descumprimento contumaz da obrigação alimentar fixada por sentença, com risco de prisão civil (CPC 528 §3º), abandono material (CP 244) e violência patrimonial (LMP 7º IV).</w:t>
      </w:r>
    </w:p>
    <w:p>
      <w:r>
        <w:rPr>
          <w:b/>
          <w:color w:val="B00020"/>
          <w:sz w:val="21"/>
        </w:rPr>
        <w:t xml:space="preserve">C-4. </w:t>
      </w:r>
      <w:r>
        <w:rPr>
          <w:sz w:val="21"/>
        </w:rPr>
        <w:t>A capacidade econômica é exuberante e reconhecida judicialmente — o inadimplemento é deliberado.</w:t>
      </w:r>
    </w:p>
    <w:p/>
    <w:p>
      <w:r>
        <w:rPr>
          <w:b/>
          <w:color w:val="0A5F2E"/>
          <w:sz w:val="21"/>
        </w:rPr>
        <w:t xml:space="preserve">P-1. </w:t>
      </w:r>
      <w:r>
        <w:rPr>
          <w:sz w:val="21"/>
        </w:rPr>
        <w:t>Cumprimento de sentença pelo rito do CPC 528 (multa, protesto, prisão civil, atualização SELIC, penhora online).</w:t>
      </w:r>
    </w:p>
    <w:p>
      <w:r>
        <w:rPr>
          <w:b/>
          <w:color w:val="0A5F2E"/>
          <w:sz w:val="21"/>
        </w:rPr>
        <w:t xml:space="preserve">P-2. </w:t>
      </w:r>
      <w:r>
        <w:rPr>
          <w:sz w:val="21"/>
        </w:rPr>
        <w:t>Levantamento incidental do incontroverso R$ 66.443,47 (proc. 1007950-39.2025) + auditoria SISBAJUD R$ 42,4 MM (proc. 0001112-97.2025).</w:t>
      </w:r>
    </w:p>
    <w:p>
      <w:r>
        <w:rPr>
          <w:b/>
          <w:color w:val="0A5F2E"/>
          <w:sz w:val="21"/>
        </w:rPr>
        <w:t xml:space="preserve">P-3. </w:t>
      </w:r>
      <w:r>
        <w:rPr>
          <w:sz w:val="21"/>
        </w:rPr>
        <w:t>Medidas protetivas patrimoniais autônomas (LMP 24 · Lei 14.550/2023) perante VDFM Butantã · indisponibilidade cotas FIP Ajaccio + Bonifácio.</w:t>
      </w:r>
    </w:p>
    <w:p>
      <w:r>
        <w:rPr>
          <w:b/>
          <w:color w:val="0A5F2E"/>
          <w:sz w:val="21"/>
        </w:rPr>
        <w:t xml:space="preserve">P-4. </w:t>
      </w:r>
      <w:r>
        <w:rPr>
          <w:sz w:val="21"/>
        </w:rPr>
        <w:t>Notícia-crime ao MP por abandono material (CP 244).</w:t>
      </w:r>
    </w:p>
    <w:p>
      <w:r>
        <w:rPr>
          <w:b/>
          <w:color w:val="0A5F2E"/>
          <w:sz w:val="21"/>
        </w:rPr>
        <w:t xml:space="preserve">P-5. </w:t>
      </w:r>
      <w:r>
        <w:rPr>
          <w:sz w:val="21"/>
        </w:rPr>
        <w:t>Instrução documental com ofício às bancas Cantagallo e Fabio Corrêa Eleutério para juntada das certidões dos alvarás dos 5 repasses.</w:t>
      </w:r>
    </w:p>
    <w:p>
      <w:r>
        <w:rPr>
          <w:b/>
          <w:color w:val="0A5F2E"/>
          <w:sz w:val="21"/>
        </w:rPr>
        <w:t xml:space="preserve">P-6. </w:t>
      </w:r>
      <w:r>
        <w:rPr>
          <w:sz w:val="21"/>
        </w:rPr>
        <w:t>Ação cível autônoma · ressarcimento do resgate da Vida e Previdência (R$ 677.857,67) + danos morais por violência patrimonial.</w:t>
      </w:r>
    </w:p>
    <w:p/>
    <w:p>
      <w:pPr>
        <w:pStyle w:val="Heading2"/>
      </w:pPr>
      <w:r>
        <w:rPr>
          <w:color w:val="C89000"/>
        </w:rPr>
        <w:t>XI — Pontos para revisão pelos Patronos</w:t>
      </w:r>
    </w:p>
    <w:p>
      <w:pPr>
        <w:pStyle w:val="ListBullet"/>
      </w:pPr>
      <w:r>
        <w:t xml:space="preserve">☐  </w:t>
      </w:r>
      <w:r>
        <w:rPr>
          <w:sz w:val="21"/>
        </w:rPr>
        <w:t>Adoção da metodologia de amortização CC 354 (juros vencidos abatidos antes do capital) e SELIC (Lei 14.905/2024)</w:t>
      </w:r>
    </w:p>
    <w:p>
      <w:pPr>
        <w:pStyle w:val="ListBullet"/>
      </w:pPr>
      <w:r>
        <w:t xml:space="preserve">☐  </w:t>
      </w:r>
      <w:r>
        <w:rPr>
          <w:sz w:val="21"/>
        </w:rPr>
        <w:t>Adoção do passivo consolidado de R$ 535.238,01 para o protocolo</w:t>
      </w:r>
    </w:p>
    <w:p>
      <w:pPr>
        <w:pStyle w:val="ListBullet"/>
      </w:pPr>
      <w:r>
        <w:t xml:space="preserve">☐  </w:t>
      </w:r>
      <w:r>
        <w:rPr>
          <w:sz w:val="21"/>
        </w:rPr>
        <w:t>Vencimento mensal no dia 1º (sentença fls. 1382)</w:t>
      </w:r>
    </w:p>
    <w:p>
      <w:pPr>
        <w:pStyle w:val="ListBullet"/>
      </w:pPr>
      <w:r>
        <w:t xml:space="preserve">☐  </w:t>
      </w:r>
      <w:r>
        <w:rPr>
          <w:sz w:val="21"/>
        </w:rPr>
        <w:t>Quantum de Millena (5 SM + R$ 18.400) — confirmar contra título executivo específico</w:t>
      </w:r>
    </w:p>
    <w:p>
      <w:pPr>
        <w:pStyle w:val="ListBullet"/>
      </w:pPr>
      <w:r>
        <w:t xml:space="preserve">☐  </w:t>
      </w:r>
      <w:r>
        <w:rPr>
          <w:sz w:val="21"/>
        </w:rPr>
        <w:t>Inclusão de honorários advocatícios (10% × anuidade ≈ R$ 29.160 · sentença fls. 1382)</w:t>
      </w:r>
    </w:p>
    <w:p>
      <w:pPr>
        <w:pStyle w:val="ListBullet"/>
      </w:pPr>
      <w:r>
        <w:t xml:space="preserve">☐  </w:t>
      </w:r>
      <w:r>
        <w:rPr>
          <w:sz w:val="21"/>
        </w:rPr>
        <w:t>Inclusão de multa CPC 528 §1º</w:t>
      </w:r>
    </w:p>
    <w:p>
      <w:pPr>
        <w:pStyle w:val="ListBullet"/>
      </w:pPr>
      <w:r>
        <w:t xml:space="preserve">☐  </w:t>
      </w:r>
      <w:r>
        <w:rPr>
          <w:sz w:val="21"/>
        </w:rPr>
        <w:t>Pedido autônomo de danos morais por violência patrimonial (LMP 7º IV)</w:t>
      </w:r>
    </w:p>
    <w:p>
      <w:pPr>
        <w:pStyle w:val="ListBullet"/>
      </w:pPr>
      <w:r>
        <w:t xml:space="preserve">☐  </w:t>
      </w:r>
      <w:r>
        <w:rPr>
          <w:sz w:val="21"/>
        </w:rPr>
        <w:t>Pedido autônomo de ressarcimento do Plano Vida e Previdência (R$ 677.857,67)</w:t>
      </w:r>
    </w:p>
    <w:p>
      <w:pPr>
        <w:pStyle w:val="ListBullet"/>
      </w:pPr>
      <w:r>
        <w:t xml:space="preserve">☐  </w:t>
      </w:r>
      <w:r>
        <w:rPr>
          <w:sz w:val="21"/>
        </w:rPr>
        <w:t>Foro de execução: 1ª VFS Pinheiros (divórcio) ou 2ª VFS Pinheiros (alimentos)</w:t>
      </w:r>
    </w:p>
    <w:p/>
    <w:p>
      <w:pPr>
        <w:pStyle w:val="Heading2"/>
      </w:pPr>
      <w:r>
        <w:rPr>
          <w:color w:val="1B3A5B"/>
        </w:rPr>
        <w:t>XII — Reserva técnica</w:t>
      </w:r>
    </w:p>
    <w:p>
      <w:r>
        <w:rPr>
          <w:i/>
          <w:color w:val="444444"/>
          <w:sz w:val="19"/>
        </w:rPr>
        <w:t>Memória de cálculo instrumental ao patrocínio (CPC art. 472), em conformidade com (i) a sentença de 11/04/2024 (proc. 1006738-51.2023.8.26.0011 · filhos R$ 24.300/mês + plano de saúde direto · vencimento dia 1º); (ii) Código Civil arts. 354 e 406 com a redação da Lei 14.905/2024 (SELIC como juros legais); (iii) extratos bancários da conta Bradesco 884-190534-1. Computam-se como pagamentos do alimentante os 7 PIX em nome próprio (R$ 214.129,08) e os 5 repasses intermediados pelas bancas anteriores (R$ 239.155,78), em razão de alvarás em cumprimentos provisórios. NÃO se incluem: rendimento perdido sobre o resgate da Vida e Previdência (categoria distinta · ação cível autônoma); honorários (10% × anuidade ≈ R$ 29.160); multa CPC 528 §1º; e atualização IPCA (SELIC já incorpora inflação). Os patronos constituídos devem verificar cada elemento em fonte primária antes da incorporação a peça subscrita. Não substitui laudo CRC nem perícia oficial.</w:t>
      </w:r>
    </w:p>
    <w:p/>
    <w:p/>
    <w:p>
      <w:pPr>
        <w:jc w:val="center"/>
      </w:pPr>
      <w:r>
        <w:rPr>
          <w:sz w:val="20"/>
        </w:rPr>
        <w:t>__________________________________________________</w:t>
      </w:r>
    </w:p>
    <w:p>
      <w:pPr>
        <w:jc w:val="center"/>
      </w:pPr>
      <w:r>
        <w:rPr>
          <w:b/>
          <w:sz w:val="22"/>
        </w:rPr>
        <w:t>Dra. MICHELE P. HILGENBERG</w:t>
      </w:r>
    </w:p>
    <w:p>
      <w:pPr>
        <w:jc w:val="center"/>
      </w:pPr>
      <w:r>
        <w:rPr>
          <w:sz w:val="20"/>
        </w:rPr>
        <w:t>OAB/SC 41.607</w:t>
      </w:r>
    </w:p>
    <w:p/>
    <w:p>
      <w:pPr>
        <w:jc w:val="center"/>
      </w:pPr>
      <w:r>
        <w:rPr>
          <w:sz w:val="20"/>
        </w:rPr>
        <w:t>__________________________________________________</w:t>
      </w:r>
    </w:p>
    <w:p>
      <w:pPr>
        <w:jc w:val="center"/>
      </w:pPr>
      <w:r>
        <w:rPr>
          <w:b/>
          <w:sz w:val="22"/>
        </w:rPr>
        <w:t>Dr. LUIZ CARLOS GUIESELER JUNIOR</w:t>
      </w:r>
    </w:p>
    <w:p>
      <w:pPr>
        <w:jc w:val="center"/>
      </w:pPr>
      <w:r>
        <w:rPr>
          <w:sz w:val="20"/>
        </w:rPr>
        <w:t>OAB/PR 44.937</w:t>
      </w:r>
    </w:p>
    <w:sectPr w:rsidR="00FC693F" w:rsidRPr="0006063C" w:rsidSect="00034616">
      <w:pgSz w:w="12240" w:h="15840"/>
      <w:pgMar w:top="1134" w:right="907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