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0020"/>
          <w:sz w:val="18"/>
        </w:rPr>
        <w:t>CONFIDENCIAL · USO RESTRITO · METODOLOGIA TECNICAMENTE CORRETA · PARA PROTOCOLO</w:t>
      </w:r>
    </w:p>
    <w:p>
      <w:pPr>
        <w:jc w:val="center"/>
      </w:pPr>
      <w:r>
        <w:rPr>
          <w:b/>
          <w:color w:val="1B3A5B"/>
          <w:sz w:val="30"/>
        </w:rPr>
        <w:t>81 — Amortização em Tempo Real (CC art. 354)</w:t>
      </w:r>
    </w:p>
    <w:p>
      <w:pPr>
        <w:jc w:val="center"/>
      </w:pPr>
      <w:r>
        <w:rPr>
          <w:i/>
          <w:sz w:val="22"/>
        </w:rPr>
        <w:t>Juros vencidos abatidos antes do capital · SELIC (Lei 14.905/2024)</w:t>
      </w:r>
    </w:p>
    <w:p>
      <w:pPr>
        <w:spacing w:before="200"/>
        <w:jc w:val="center"/>
      </w:pPr>
      <w:r>
        <w:rPr>
          <w:b/>
          <w:color w:val="B00020"/>
          <w:sz w:val="26"/>
        </w:rPr>
        <w:t>CENÁRIO A: R$ 799.193,77    |    CENÁRIO B: R$ 535.238,01</w:t>
      </w:r>
    </w:p>
    <w:p>
      <w:pPr>
        <w:pStyle w:val="Heading2"/>
      </w:pPr>
      <w:r>
        <w:rPr>
          <w:color w:val="1B3A5B"/>
        </w:rPr>
        <w:t>I — Por que esta revisão era necessária</w:t>
      </w:r>
    </w:p>
    <w:p>
      <w:r>
        <w:rPr>
          <w:b/>
          <w:sz w:val="20"/>
        </w:rPr>
        <w:t xml:space="preserve">DOC 80 (anterior · 'piso zero/mês'): </w:t>
      </w:r>
      <w:r>
        <w:rPr>
          <w:sz w:val="20"/>
        </w:rPr>
        <w:t>cada mês de competência tinha seu débito calculado independente; se o pagamento excedia o devido do mês, o excesso era DESCARTADO. Os juros eram aplicados sobre o débito residual de cada mês. PROBLEMA: ignora o CC art. 354 e perde excessos de pagamento.</w:t>
      </w:r>
    </w:p>
    <w:p>
      <w:r>
        <w:rPr>
          <w:b/>
          <w:color w:val="0A5F2E"/>
          <w:sz w:val="20"/>
        </w:rPr>
        <w:t xml:space="preserve">DOC 81 (atual · CC 354): </w:t>
      </w:r>
      <w:r>
        <w:rPr>
          <w:sz w:val="20"/>
        </w:rPr>
        <w:t>pagamentos são alocados nas parcelas mais antigas, abatendo PRIMEIRO os juros acumulados e DEPOIS o principal. Nenhum excesso é descartado. Juros debitados em tempo real a cada pagamento, não no fim.</w:t>
      </w:r>
    </w:p>
    <w:p/>
    <w:p>
      <w:pPr>
        <w:pStyle w:val="Heading2"/>
      </w:pPr>
      <w:r>
        <w:rPr>
          <w:color w:val="1B3A5B"/>
        </w:rPr>
        <w:t>II — Base normativa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Norma</w:t>
            </w:r>
          </w:p>
        </w:tc>
        <w:tc>
          <w:tcPr>
            <w:tcW w:type="dxa" w:w="5270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sz w:val="18"/>
              </w:rPr>
              <w:t>CC art. 354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Havendo capital e juros, o pagamento imputar-se-á primeiro nos juros vencidos, e depois no capital, salvo estipulação em contrário, ou se o credor passar a quitação por conta do capital.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sz w:val="18"/>
              </w:rPr>
              <w:t>CC art. 406 (Lei 14.905/2024)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Os juros legais correspondem à taxa SELIC, vigente desde 30/08/2024 para todas as parcelas vincendas.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sz w:val="18"/>
              </w:rPr>
              <w:t>STJ AgInt no REsp 1.794.864/MG (2020)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A imputação em pagamento se dá necessariamente primeiro nos juros vencidos e depois no capital.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sz w:val="18"/>
              </w:rPr>
              <w:t>STJ REsp 1.888.788/SP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Aplicação da imputação proper em execuções alimentares.</w:t>
            </w:r>
          </w:p>
        </w:tc>
      </w:tr>
    </w:tbl>
    <w:p/>
    <w:p>
      <w:pPr>
        <w:pStyle w:val="Heading2"/>
      </w:pPr>
      <w:r>
        <w:rPr>
          <w:color w:val="1B3A5B"/>
        </w:rPr>
        <w:t>III — Síntese dos dois cenários · Doc 81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Cenário A</w:t>
            </w:r>
          </w:p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Cenário B</w:t>
            </w:r>
          </w:p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Δ</w:t>
            </w:r>
          </w:p>
        </w:tc>
      </w:tr>
      <w:tr>
        <w:tc>
          <w:tcPr>
            <w:tcW w:type="dxa" w:w="2635"/>
          </w:tcPr>
          <w:p>
            <w:r/>
            <w:r>
              <w:rPr>
                <w:sz w:val="18"/>
              </w:rPr>
              <w:t>Pagamentos recebidos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R$ 214.129,08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R$ 453.284,86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+ R$ 239.155,78</w:t>
            </w:r>
          </w:p>
        </w:tc>
      </w:tr>
      <w:tr>
        <w:tc>
          <w:tcPr>
            <w:tcW w:type="dxa" w:w="2635"/>
          </w:tcPr>
          <w:p>
            <w:r/>
            <w:r>
              <w:rPr>
                <w:sz w:val="18"/>
              </w:rPr>
              <w:t>Devido inicial alimentar (18 m)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R$ 908.280,00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R$ 908.280,00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635"/>
            <w:shd w:val="clear" w:color="auto" w:fill="EEF6F0"/>
          </w:tcPr>
          <w:p>
            <w:r/>
            <w:r>
              <w:rPr>
                <w:b/>
                <w:sz w:val="18"/>
              </w:rPr>
              <w:t>Principal PAGO (amortizado)</w:t>
            </w:r>
          </w:p>
        </w:tc>
        <w:tc>
          <w:tcPr>
            <w:tcW w:type="dxa" w:w="2635"/>
            <w:shd w:val="clear" w:color="auto" w:fill="EEF6F0"/>
          </w:tcPr>
          <w:p>
            <w:r/>
            <w:r>
              <w:rPr>
                <w:b/>
                <w:sz w:val="18"/>
              </w:rPr>
              <w:t>R$ 187.443,95</w:t>
            </w:r>
          </w:p>
        </w:tc>
        <w:tc>
          <w:tcPr>
            <w:tcW w:type="dxa" w:w="2635"/>
            <w:shd w:val="clear" w:color="auto" w:fill="EEF6F0"/>
          </w:tcPr>
          <w:p>
            <w:r/>
            <w:r>
              <w:rPr>
                <w:b/>
                <w:sz w:val="18"/>
              </w:rPr>
              <w:t>R$ 421.631,75</w:t>
            </w:r>
          </w:p>
        </w:tc>
        <w:tc>
          <w:tcPr>
            <w:tcW w:type="dxa" w:w="2635"/>
            <w:shd w:val="clear" w:color="auto" w:fill="EEF6F0"/>
          </w:tcPr>
          <w:p>
            <w:r/>
            <w:r>
              <w:rPr>
                <w:b/>
                <w:sz w:val="18"/>
              </w:rPr>
              <w:t>+ R$ 234.187,80</w:t>
            </w:r>
          </w:p>
        </w:tc>
      </w:tr>
      <w:tr>
        <w:tc>
          <w:tcPr>
            <w:tcW w:type="dxa" w:w="2635"/>
            <w:shd w:val="clear" w:color="auto" w:fill="EEF6F0"/>
          </w:tcPr>
          <w:p>
            <w:r/>
            <w:r>
              <w:rPr>
                <w:b/>
                <w:sz w:val="18"/>
              </w:rPr>
              <w:t>Juros PAGO (durante o período)</w:t>
            </w:r>
          </w:p>
        </w:tc>
        <w:tc>
          <w:tcPr>
            <w:tcW w:type="dxa" w:w="2635"/>
            <w:shd w:val="clear" w:color="auto" w:fill="EEF6F0"/>
          </w:tcPr>
          <w:p>
            <w:r/>
            <w:r>
              <w:rPr>
                <w:b/>
                <w:sz w:val="18"/>
              </w:rPr>
              <w:t>R$ 26.685,13</w:t>
            </w:r>
          </w:p>
        </w:tc>
        <w:tc>
          <w:tcPr>
            <w:tcW w:type="dxa" w:w="2635"/>
            <w:shd w:val="clear" w:color="auto" w:fill="EEF6F0"/>
          </w:tcPr>
          <w:p>
            <w:r/>
            <w:r>
              <w:rPr>
                <w:b/>
                <w:sz w:val="18"/>
              </w:rPr>
              <w:t>R$ 31.653,11</w:t>
            </w:r>
          </w:p>
        </w:tc>
        <w:tc>
          <w:tcPr>
            <w:tcW w:type="dxa" w:w="2635"/>
            <w:shd w:val="clear" w:color="auto" w:fill="EEF6F0"/>
          </w:tcPr>
          <w:p>
            <w:r/>
            <w:r>
              <w:rPr>
                <w:b/>
                <w:sz w:val="18"/>
              </w:rPr>
              <w:t>+ R$ 4.967,98</w:t>
            </w:r>
          </w:p>
        </w:tc>
      </w:tr>
      <w:tr>
        <w:tc>
          <w:tcPr>
            <w:tcW w:type="dxa" w:w="2635"/>
            <w:shd w:val="clear" w:color="auto" w:fill="FDECEF"/>
          </w:tcPr>
          <w:p>
            <w:r/>
            <w:r>
              <w:rPr>
                <w:b/>
                <w:sz w:val="18"/>
              </w:rPr>
              <w:t>Principal REMANESCENTE</w:t>
            </w:r>
          </w:p>
        </w:tc>
        <w:tc>
          <w:tcPr>
            <w:tcW w:type="dxa" w:w="2635"/>
            <w:shd w:val="clear" w:color="auto" w:fill="FDECEF"/>
          </w:tcPr>
          <w:p>
            <w:r/>
            <w:r>
              <w:rPr>
                <w:b/>
                <w:sz w:val="18"/>
              </w:rPr>
              <w:t>R$ 720.836,05</w:t>
            </w:r>
          </w:p>
        </w:tc>
        <w:tc>
          <w:tcPr>
            <w:tcW w:type="dxa" w:w="2635"/>
            <w:shd w:val="clear" w:color="auto" w:fill="FDECEF"/>
          </w:tcPr>
          <w:p>
            <w:r/>
            <w:r>
              <w:rPr>
                <w:b/>
                <w:sz w:val="18"/>
              </w:rPr>
              <w:t>R$ 486.648,25</w:t>
            </w:r>
          </w:p>
        </w:tc>
        <w:tc>
          <w:tcPr>
            <w:tcW w:type="dxa" w:w="2635"/>
            <w:shd w:val="clear" w:color="auto" w:fill="FDECEF"/>
          </w:tcPr>
          <w:p>
            <w:r/>
            <w:r>
              <w:rPr>
                <w:b/>
                <w:sz w:val="18"/>
              </w:rPr>
              <w:t>− R$ 234.187,80</w:t>
            </w:r>
          </w:p>
        </w:tc>
      </w:tr>
      <w:tr>
        <w:tc>
          <w:tcPr>
            <w:tcW w:type="dxa" w:w="2635"/>
            <w:shd w:val="clear" w:color="auto" w:fill="FDECEF"/>
          </w:tcPr>
          <w:p>
            <w:r/>
            <w:r>
              <w:rPr>
                <w:b/>
                <w:sz w:val="18"/>
              </w:rPr>
              <w:t>Juros ACUMULADO (não pago)</w:t>
            </w:r>
          </w:p>
        </w:tc>
        <w:tc>
          <w:tcPr>
            <w:tcW w:type="dxa" w:w="2635"/>
            <w:shd w:val="clear" w:color="auto" w:fill="FDECEF"/>
          </w:tcPr>
          <w:p>
            <w:r/>
            <w:r>
              <w:rPr>
                <w:b/>
                <w:sz w:val="18"/>
              </w:rPr>
              <w:t>R$ 51.698,46</w:t>
            </w:r>
          </w:p>
        </w:tc>
        <w:tc>
          <w:tcPr>
            <w:tcW w:type="dxa" w:w="2635"/>
            <w:shd w:val="clear" w:color="auto" w:fill="FDECEF"/>
          </w:tcPr>
          <w:p>
            <w:r/>
            <w:r>
              <w:rPr>
                <w:b/>
                <w:sz w:val="18"/>
              </w:rPr>
              <w:t>R$ 21.930,50</w:t>
            </w:r>
          </w:p>
        </w:tc>
        <w:tc>
          <w:tcPr>
            <w:tcW w:type="dxa" w:w="2635"/>
            <w:shd w:val="clear" w:color="auto" w:fill="FDECEF"/>
          </w:tcPr>
          <w:p>
            <w:r/>
            <w:r>
              <w:rPr>
                <w:b/>
                <w:sz w:val="18"/>
              </w:rPr>
              <w:t>− R$ 29.767,96</w:t>
            </w:r>
          </w:p>
        </w:tc>
      </w:tr>
      <w:tr>
        <w:tc>
          <w:tcPr>
            <w:tcW w:type="dxa" w:w="2635"/>
          </w:tcPr>
          <w:p>
            <w:r/>
            <w:r>
              <w:rPr>
                <w:sz w:val="18"/>
              </w:rPr>
              <w:t>Saúde não reembolsada (saldo)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R$ 26.659,26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R$ 26.659,26</w:t>
            </w:r>
          </w:p>
        </w:tc>
        <w:tc>
          <w:tcPr>
            <w:tcW w:type="dxa" w:w="2635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635"/>
            <w:shd w:val="clear" w:color="auto" w:fill="1B3A5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PASSIVO TOTAL 30/06/2026</w:t>
            </w:r>
          </w:p>
        </w:tc>
        <w:tc>
          <w:tcPr>
            <w:tcW w:type="dxa" w:w="2635"/>
            <w:shd w:val="clear" w:color="auto" w:fill="1B3A5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R$ 799.193,77</w:t>
            </w:r>
          </w:p>
        </w:tc>
        <w:tc>
          <w:tcPr>
            <w:tcW w:type="dxa" w:w="2635"/>
            <w:shd w:val="clear" w:color="auto" w:fill="1B3A5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R$ 535.238,01</w:t>
            </w:r>
          </w:p>
        </w:tc>
        <w:tc>
          <w:tcPr>
            <w:tcW w:type="dxa" w:w="2635"/>
            <w:shd w:val="clear" w:color="auto" w:fill="1B3A5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− R$ 263.955,76</w:t>
            </w:r>
          </w:p>
        </w:tc>
      </w:tr>
    </w:tbl>
    <w:p/>
    <w:p>
      <w:pPr>
        <w:pStyle w:val="Heading2"/>
      </w:pPr>
      <w:r>
        <w:rPr>
          <w:color w:val="1B3A5B"/>
        </w:rPr>
        <w:t>IV — Comparativo Doc 80 vs Doc 81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Doc 80 (piso zero)</w:t>
            </w:r>
          </w:p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Doc 81 (CC 354)</w:t>
            </w:r>
          </w:p>
        </w:tc>
        <w:tc>
          <w:tcPr>
            <w:tcW w:type="dxa" w:w="2635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Δ</w:t>
            </w:r>
          </w:p>
        </w:tc>
      </w:tr>
      <w:tr>
        <w:tc>
          <w:tcPr>
            <w:tcW w:type="dxa" w:w="2635"/>
            <w:shd w:val="clear" w:color="auto" w:fill="FDECEF"/>
          </w:tcPr>
          <w:p>
            <w:r/>
            <w:r>
              <w:rPr>
                <w:b/>
                <w:sz w:val="20"/>
              </w:rPr>
              <w:t>PASSIVO TOTAL Cenário A</w:t>
            </w:r>
          </w:p>
        </w:tc>
        <w:tc>
          <w:tcPr>
            <w:tcW w:type="dxa" w:w="2635"/>
            <w:shd w:val="clear" w:color="auto" w:fill="FDECEF"/>
          </w:tcPr>
          <w:p>
            <w:r/>
            <w:r>
              <w:rPr>
                <w:b/>
                <w:sz w:val="20"/>
              </w:rPr>
              <w:t>R$ 850.535,24</w:t>
            </w:r>
          </w:p>
        </w:tc>
        <w:tc>
          <w:tcPr>
            <w:tcW w:type="dxa" w:w="2635"/>
            <w:shd w:val="clear" w:color="auto" w:fill="FDECEF"/>
          </w:tcPr>
          <w:p>
            <w:r/>
            <w:r>
              <w:rPr>
                <w:b/>
                <w:sz w:val="20"/>
              </w:rPr>
              <w:t>R$ 799.193,77</w:t>
            </w:r>
          </w:p>
        </w:tc>
        <w:tc>
          <w:tcPr>
            <w:tcW w:type="dxa" w:w="2635"/>
            <w:shd w:val="clear" w:color="auto" w:fill="FDECEF"/>
          </w:tcPr>
          <w:p>
            <w:r/>
            <w:r>
              <w:rPr>
                <w:b/>
                <w:sz w:val="20"/>
              </w:rPr>
              <w:t>− R$ 51.341,47</w:t>
            </w:r>
          </w:p>
        </w:tc>
      </w:tr>
      <w:tr>
        <w:tc>
          <w:tcPr>
            <w:tcW w:type="dxa" w:w="2635"/>
            <w:shd w:val="clear" w:color="auto" w:fill="FDECEF"/>
          </w:tcPr>
          <w:p>
            <w:r/>
            <w:r>
              <w:rPr>
                <w:b/>
                <w:sz w:val="20"/>
              </w:rPr>
              <w:t>PASSIVO TOTAL Cenário B</w:t>
            </w:r>
          </w:p>
        </w:tc>
        <w:tc>
          <w:tcPr>
            <w:tcW w:type="dxa" w:w="2635"/>
            <w:shd w:val="clear" w:color="auto" w:fill="FDECEF"/>
          </w:tcPr>
          <w:p>
            <w:r/>
            <w:r>
              <w:rPr>
                <w:b/>
                <w:sz w:val="20"/>
              </w:rPr>
              <w:t>R$ 713.104,30</w:t>
            </w:r>
          </w:p>
        </w:tc>
        <w:tc>
          <w:tcPr>
            <w:tcW w:type="dxa" w:w="2635"/>
            <w:shd w:val="clear" w:color="auto" w:fill="FDECEF"/>
          </w:tcPr>
          <w:p>
            <w:r/>
            <w:r>
              <w:rPr>
                <w:b/>
                <w:sz w:val="20"/>
              </w:rPr>
              <w:t>R$ 535.238,01</w:t>
            </w:r>
          </w:p>
        </w:tc>
        <w:tc>
          <w:tcPr>
            <w:tcW w:type="dxa" w:w="2635"/>
            <w:shd w:val="clear" w:color="auto" w:fill="FDECEF"/>
          </w:tcPr>
          <w:p>
            <w:r/>
            <w:r>
              <w:rPr>
                <w:b/>
                <w:sz w:val="20"/>
              </w:rPr>
              <w:t>− R$ 177.866,29</w:t>
            </w:r>
          </w:p>
        </w:tc>
      </w:tr>
    </w:tbl>
    <w:p>
      <w:r>
        <w:rPr>
          <w:b/>
          <w:sz w:val="20"/>
        </w:rPr>
        <w:t xml:space="preserve">Por que o passivo do Doc 81 é menor? </w:t>
      </w:r>
      <w:r>
        <w:rPr>
          <w:sz w:val="20"/>
        </w:rPr>
        <w:t>Porque nenhum pagamento é descartado como excesso. O PIX de R$ 78.521,53 em 23/01/2026, por exemplo, agora amortiza integralmente jan/2025 e parcialmente fev/2025 — em vez de ficar perdido no excesso de jan/2026.</w:t>
      </w:r>
    </w:p>
    <w:p/>
    <w:p>
      <w:pPr>
        <w:pStyle w:val="Heading2"/>
      </w:pPr>
      <w:r>
        <w:rPr>
          <w:color w:val="1B3A5B"/>
        </w:rPr>
        <w:t>V — Exemplo · 1º PIX R$ 78.521,53 em 23/01/2026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Parcela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Pago em JUROS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Pago em PRINCIPAL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Total abatido</w:t>
            </w:r>
          </w:p>
        </w:tc>
        <w:tc>
          <w:tcPr>
            <w:tcW w:type="dxa" w:w="2108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Saldo após</w:t>
            </w:r>
          </w:p>
        </w:tc>
      </w:tr>
      <w:tr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01/2025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R$ 5.965,52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R$ 50.290,00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R$ 56.255,52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R$ 0,00 (quitada)</w:t>
            </w:r>
          </w:p>
        </w:tc>
      </w:tr>
      <w:tr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02/2025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R$ 4.838,28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R$ 17.427,73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R$ 22.266,01</w:t>
            </w:r>
          </w:p>
        </w:tc>
        <w:tc>
          <w:tcPr>
            <w:tcW w:type="dxa" w:w="2108"/>
            <w:shd w:val="clear" w:color="auto" w:fill="EEF6F0"/>
          </w:tcPr>
          <w:p>
            <w:r/>
            <w:r>
              <w:rPr>
                <w:sz w:val="18"/>
              </w:rPr>
              <w:t>R$ 32.862,27</w:t>
            </w:r>
          </w:p>
        </w:tc>
      </w:tr>
    </w:tbl>
    <w:p/>
    <w:p>
      <w:pPr>
        <w:pStyle w:val="Heading2"/>
      </w:pPr>
      <w:r>
        <w:rPr>
          <w:color w:val="B00020"/>
        </w:rPr>
        <w:t>VI — Recomendação técnica final</w:t>
      </w:r>
    </w:p>
    <w:p>
      <w:r>
        <w:rPr>
          <w:b/>
          <w:color w:val="B00020"/>
          <w:sz w:val="22"/>
        </w:rPr>
        <w:t xml:space="preserve">ADOTAR O DOC 81 NO PROTOCOLO </w:t>
      </w:r>
      <w:r>
        <w:rPr>
          <w:sz w:val="22"/>
        </w:rPr>
        <w:t>em substituição ao Doc 79/80. A metodologia da amortização em tempo real (CC 354) é a tecnicamente correta para execução de alimentos no Brasil e a única defensável em sede de execução. Recomenda-se protocolo no Cenário A (R$ 799.193,77) com indicação dos 5 recebimentos via adv a serem classificados após oitiva das bancas Cantagallo e Fabio Corrêa Eleutério.</w:t>
      </w:r>
    </w:p>
    <w:p/>
    <w:p>
      <w:pPr>
        <w:pStyle w:val="Heading2"/>
      </w:pPr>
      <w:r>
        <w:rPr>
          <w:color w:val="C89000"/>
        </w:rPr>
        <w:t>VII — Checklist para Dr. Luiz + Dra. Michele</w:t>
      </w:r>
    </w:p>
    <w:p>
      <w:pPr>
        <w:pStyle w:val="ListBullet"/>
      </w:pPr>
      <w:r>
        <w:rPr>
          <w:sz w:val="20"/>
        </w:rPr>
        <w:t>Adotar metodologia Doc 81 (amortização CC 354) em substituição ao Doc 79/80</w:t>
      </w:r>
    </w:p>
    <w:p>
      <w:pPr>
        <w:pStyle w:val="ListBullet"/>
      </w:pPr>
      <w:r>
        <w:rPr>
          <w:sz w:val="20"/>
        </w:rPr>
        <w:t>Decisão Cenário A (só PIX) ou B (+ via adv) — qual adotar?</w:t>
      </w:r>
    </w:p>
    <w:p>
      <w:pPr>
        <w:pStyle w:val="ListBullet"/>
      </w:pPr>
      <w:r>
        <w:rPr>
          <w:sz w:val="20"/>
        </w:rPr>
        <w:t>Oficiar Cantagallo e Fabio Corrêa Eleutério para classificação dos R$ 239.155,78</w:t>
      </w:r>
    </w:p>
    <w:p>
      <w:pPr>
        <w:pStyle w:val="ListBullet"/>
      </w:pPr>
      <w:r>
        <w:rPr>
          <w:sz w:val="20"/>
        </w:rPr>
        <w:t>Cruzar com certidões dos cumprimentos provisórios (Doc 71 itens 5-9)</w:t>
      </w:r>
    </w:p>
    <w:p>
      <w:pPr>
        <w:pStyle w:val="ListBullet"/>
      </w:pPr>
      <w:r>
        <w:rPr>
          <w:sz w:val="20"/>
        </w:rPr>
        <w:t>Validar SELIC (Lei 14.905/2024 · CC 406)</w:t>
      </w:r>
    </w:p>
    <w:p>
      <w:pPr>
        <w:pStyle w:val="ListBullet"/>
      </w:pPr>
      <w:r>
        <w:rPr>
          <w:sz w:val="20"/>
        </w:rPr>
        <w:t>Confirmar vencimento dia 1º (sentença 11/04/2024 fls. 1382)</w:t>
      </w:r>
    </w:p>
    <w:p>
      <w:pPr>
        <w:pStyle w:val="ListBullet"/>
      </w:pPr>
      <w:r>
        <w:rPr>
          <w:sz w:val="20"/>
        </w:rPr>
        <w:t>Confirmar quantum de Millena (5 SM + R$ 18.400)</w:t>
      </w:r>
    </w:p>
    <w:p>
      <w:pPr>
        <w:pStyle w:val="ListBullet"/>
      </w:pPr>
      <w:r>
        <w:rPr>
          <w:sz w:val="20"/>
        </w:rPr>
        <w:t>Inclusão de honorários (10% × anuidade ≈ R$ 29.160)</w:t>
      </w:r>
    </w:p>
    <w:p>
      <w:pPr>
        <w:pStyle w:val="ListBullet"/>
      </w:pPr>
      <w:r>
        <w:rPr>
          <w:sz w:val="20"/>
        </w:rPr>
        <w:t>Inclusão de multa CPC 528 §1º</w:t>
      </w:r>
    </w:p>
    <w:p>
      <w:pPr>
        <w:pStyle w:val="ListBullet"/>
      </w:pPr>
      <w:r>
        <w:rPr>
          <w:sz w:val="20"/>
        </w:rPr>
        <w:t>Danos morais por violência patrimonial (LMP 7º IV) em pedido autônomo</w:t>
      </w:r>
    </w:p>
    <w:p>
      <w:pPr>
        <w:pStyle w:val="ListBullet"/>
      </w:pPr>
      <w:r>
        <w:rPr>
          <w:sz w:val="20"/>
        </w:rPr>
        <w:t>Ressarcimento do resgate de Vida e Previdência (R$ 677.857,67) em ação cível autônoma</w:t>
      </w:r>
    </w:p>
    <w:p>
      <w:pPr>
        <w:pStyle w:val="ListBullet"/>
      </w:pPr>
      <w:r>
        <w:rPr>
          <w:sz w:val="20"/>
        </w:rPr>
        <w:t>Foro de execução: 1ª VFS Pinheiros ou 2ª VFS Pinheiros</w:t>
      </w:r>
    </w:p>
    <w:p/>
    <w:p>
      <w:pPr>
        <w:pStyle w:val="Heading2"/>
      </w:pPr>
      <w:r>
        <w:rPr>
          <w:color w:val="1B3A5B"/>
        </w:rPr>
        <w:t>Reserva técnica</w:t>
      </w:r>
    </w:p>
    <w:p>
      <w:r>
        <w:rPr>
          <w:i/>
          <w:color w:val="444444"/>
          <w:sz w:val="18"/>
        </w:rPr>
        <w:t>Doc 81 sucede o Doc 80 implementando AMORTIZAÇÃO PROPER (CC 354 + Lei 14.905/2024). Cada parcela alimentar mensal acumula juros SELIC capitalizados em base diária desde o vencimento (dia 1º · sentença 11/04/2024). Pagamentos são alocados às parcelas mais antigas, abatendo primeiro juros, depois principal. Saúde não reembolsada (16 NFs · R$ 25.900) acumula juros SELIC desde a data da NF, sem pagamentos. Dois cenários (A · só PIX direto R$ 214.129,08; B · + via adv R$ 239.155,78). NÃO inclui rendimento sobre resgate de Vida e Previdência (Doc 72 · ação cível autônoma), honorários (≈ R$ 29.160), multa CPC 528 §1º. Instrumento técnico de apoio (CPC 472), não substitui laudo CRC nem perícia oficial. Patronos: Dra. Michele P. Hilgenberg (OAB/SC 41.607) + Dr. Luiz Carlos Guieseler Junior (OAB/PR 44.937) · procuração matriz 03/06/2026 · fls. 1065 da guarda · CPC art. 112.</w:t>
      </w:r>
    </w:p>
    <w:sectPr w:rsidR="00FC693F" w:rsidRPr="0006063C" w:rsidSect="00034616">
      <w:pgSz w:w="12240" w:h="15840"/>
      <w:pgMar w:top="907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