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PARECER-RELATOR INTEGRADO — OPERAÇÃO LIMONCELLO</w:t>
      </w:r>
    </w:p>
    <w:p>
      <w:pPr>
        <w:jc w:val="center"/>
      </w:pPr>
      <w:r>
        <w:rPr>
          <w:i/>
          <w:sz w:val="19"/>
        </w:rPr>
        <w:t>Validação cruzada do acervo 11/06/2026 · Autos 1006744-58.2023.8.26.0011 · 1ª VF Pinheiros/SP</w:t>
        <w:br/>
        <w:t>D1–D5 confrontados com a peça Onesti de 19/05/2026 · CONFIDENCIAL — uso restrito da equipe</w:t>
      </w:r>
    </w:p>
    <w:p>
      <w:pPr>
        <w:pStyle w:val="Heading1"/>
      </w:pPr>
      <w:r>
        <w:rPr>
          <w:color w:val="1A1A1A"/>
        </w:rPr>
        <w:t>1. Síntese executiva — voto do relator</w:t>
      </w:r>
    </w:p>
    <w:p>
      <w:pPr>
        <w:jc w:val="both"/>
      </w:pPr>
      <w:r>
        <w:rPr>
          <w:b w:val="0"/>
          <w:i w:val="0"/>
        </w:rPr>
        <w:t>Os cinco documentos submetidos a este relator são tecnicamente consistentes entre si, internamente coerentes e processualmente acionáveis. O acervo já fechou o horizonte contra a narrativa adversa do "devaneio + erro SISBAJUD" — e o fez com fundamento aceito (CPC 373 §1º, 396-404, 400; CC 158, 167; CP 171, 299; Lei 9.613/98; RCVM 175). Há, porém, oito pontos de saneamento probatório que precisam ser resolvidos antes do uso em peça subscrita.</w:t>
      </w:r>
    </w:p>
    <w:p>
      <w:pPr>
        <w:jc w:val="both"/>
      </w:pPr>
      <w:r>
        <w:rPr>
          <w:b w:val="0"/>
          <w:i w:val="0"/>
        </w:rPr>
        <w:t>Achado-eixo: o acervo opera por chunking up — reconstrói "o boi inteiro" da operação, recusando o jogo adversarial de fragmentação por vara. Esta é, exatamente, a moldura que falta à peça Onesti de 19/05/2026 — e que agora pode ser incorporada como camada de fechamento, sem reformar o que já foi protocolado.</w:t>
      </w:r>
    </w:p>
    <w:p>
      <w:pPr>
        <w:pStyle w:val="Heading1"/>
      </w:pPr>
      <w:r>
        <w:rPr>
          <w:color w:val="1A1A1A"/>
        </w:rPr>
        <w:t>2. Inventário documental validado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Pág.</w:t>
            </w:r>
          </w:p>
        </w:tc>
        <w:tc>
          <w:tcPr>
            <w:tcW w:type="dxa" w:w="1930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1930"/>
          </w:tcPr>
          <w:p>
            <w:r>
              <w:rPr>
                <w:b/>
              </w:rPr>
              <w:t>Veredito</w:t>
            </w:r>
          </w:p>
        </w:tc>
      </w:tr>
      <w:tr>
        <w:tc>
          <w:tcPr>
            <w:tcW w:type="dxa" w:w="1930"/>
          </w:tcPr>
          <w:p>
            <w:r>
              <w:t>D1</w:t>
            </w:r>
          </w:p>
        </w:tc>
        <w:tc>
          <w:tcPr>
            <w:tcW w:type="dxa" w:w="1930"/>
          </w:tcPr>
          <w:p>
            <w:r>
              <w:t>Teste SISBAJUD — diligência e impenhorabilidade fraudulenta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Diagnóstico códigos 12/13/98</w:t>
            </w:r>
          </w:p>
        </w:tc>
        <w:tc>
          <w:tcPr>
            <w:tcW w:type="dxa" w:w="1930"/>
          </w:tcPr>
          <w:p>
            <w:r>
              <w:t>Validado E1</w:t>
            </w:r>
          </w:p>
        </w:tc>
      </w:tr>
      <w:tr>
        <w:tc>
          <w:tcPr>
            <w:tcW w:type="dxa" w:w="1930"/>
          </w:tcPr>
          <w:p>
            <w:r>
              <w:t>D2</w:t>
            </w:r>
          </w:p>
        </w:tc>
        <w:tc>
          <w:tcPr>
            <w:tcW w:type="dxa" w:w="1930"/>
          </w:tcPr>
          <w:p>
            <w:r>
              <w:t>Tese Sanatória do Litígio — Identificação de bens e desenho de partilha</w:t>
            </w:r>
          </w:p>
        </w:tc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Cinco proposições autônomas P1–P5; plano fases 0–3</w:t>
            </w:r>
          </w:p>
        </w:tc>
        <w:tc>
          <w:tcPr>
            <w:tcW w:type="dxa" w:w="1930"/>
          </w:tcPr>
          <w:p>
            <w:r>
              <w:t>Validado E1</w:t>
            </w:r>
          </w:p>
        </w:tc>
      </w:tr>
      <w:tr>
        <w:tc>
          <w:tcPr>
            <w:tcW w:type="dxa" w:w="1930"/>
          </w:tcPr>
          <w:p>
            <w:r>
              <w:t>D3</w:t>
            </w:r>
          </w:p>
        </w:tc>
        <w:tc>
          <w:tcPr>
            <w:tcW w:type="dxa" w:w="1930"/>
          </w:tcPr>
          <w:p>
            <w:r>
              <w:t>"O boi inteiro do deal Evino" — anatomia forense rodada Vinci R$ 650 MM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Smoking guns; pirâmide L1–L5; 5 rotas AML</w:t>
            </w:r>
          </w:p>
        </w:tc>
        <w:tc>
          <w:tcPr>
            <w:tcW w:type="dxa" w:w="1930"/>
          </w:tcPr>
          <w:p>
            <w:r>
              <w:t>Validado com ressalvas E2</w:t>
            </w:r>
          </w:p>
        </w:tc>
      </w:tr>
      <w:tr>
        <w:tc>
          <w:tcPr>
            <w:tcW w:type="dxa" w:w="1930"/>
          </w:tcPr>
          <w:p>
            <w:r>
              <w:t>D4</w:t>
            </w:r>
          </w:p>
        </w:tc>
        <w:tc>
          <w:tcPr>
            <w:tcW w:type="dxa" w:w="1930"/>
          </w:tcPr>
          <w:p>
            <w:r>
              <w:t>Arquitetura — reconstrução do rastro e mapa de penhorabilidade</w:t>
            </w:r>
          </w:p>
        </w:tc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Whole money trail; penhorabilidade; ação 6 passos</w:t>
            </w:r>
          </w:p>
        </w:tc>
        <w:tc>
          <w:tcPr>
            <w:tcW w:type="dxa" w:w="1930"/>
          </w:tcPr>
          <w:p>
            <w:r>
              <w:t>Validado E1</w:t>
            </w:r>
          </w:p>
        </w:tc>
      </w:tr>
      <w:tr>
        <w:tc>
          <w:tcPr>
            <w:tcW w:type="dxa" w:w="1930"/>
          </w:tcPr>
          <w:p>
            <w:r>
              <w:t>D5</w:t>
            </w:r>
          </w:p>
        </w:tc>
        <w:tc>
          <w:tcPr>
            <w:tcW w:type="dxa" w:w="1930"/>
          </w:tcPr>
          <w:p>
            <w:r>
              <w:t>Relatório Master Consolidado — Parecer Definitivo (Pack 69 + BS V3 + DD M&amp;A V5)</w:t>
            </w:r>
          </w:p>
        </w:tc>
        <w:tc>
          <w:tcPr>
            <w:tcW w:type="dxa" w:w="1930"/>
          </w:tcPr>
          <w:p>
            <w:r>
              <w:t>24</w:t>
            </w:r>
          </w:p>
        </w:tc>
        <w:tc>
          <w:tcPr>
            <w:tcW w:type="dxa" w:w="1930"/>
          </w:tcPr>
          <w:p>
            <w:r>
              <w:t>33+ CNPJs; 5 hubs; 10 black swans; 8 tipificações</w:t>
            </w:r>
          </w:p>
        </w:tc>
        <w:tc>
          <w:tcPr>
            <w:tcW w:type="dxa" w:w="1930"/>
          </w:tcPr>
          <w:p>
            <w:r>
              <w:t>Validado com 8 pendências saneamento</w:t>
            </w:r>
          </w:p>
        </w:tc>
      </w:tr>
    </w:tbl>
    <w:p/>
    <w:p>
      <w:pPr>
        <w:pStyle w:val="Heading1"/>
      </w:pPr>
      <w:r>
        <w:rPr>
          <w:color w:val="1A1A1A"/>
        </w:rPr>
        <w:t>3. Validação cruzada — convergência D1–D5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Eixo</w:t>
            </w:r>
          </w:p>
        </w:tc>
        <w:tc>
          <w:tcPr>
            <w:tcW w:type="dxa" w:w="482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824"/>
          </w:tcPr>
          <w:p>
            <w:r>
              <w:t>Códigos SISBAJUD 12/13/98 = não-impenhorabilidade</w:t>
            </w:r>
          </w:p>
        </w:tc>
        <w:tc>
          <w:tcPr>
            <w:tcW w:type="dxa" w:w="4824"/>
          </w:tcPr>
          <w:p>
            <w:r>
              <w:t>Unânime (D1+D2+D3+D4+D5)</w:t>
            </w:r>
          </w:p>
        </w:tc>
      </w:tr>
      <w:tr>
        <w:tc>
          <w:tcPr>
            <w:tcW w:type="dxa" w:w="4824"/>
          </w:tcPr>
          <w:p>
            <w:r>
              <w:t>FRAM/OSLO DTVM = ponto único de custódia (74 fundos)</w:t>
            </w:r>
          </w:p>
        </w:tc>
        <w:tc>
          <w:tcPr>
            <w:tcW w:type="dxa" w:w="4824"/>
          </w:tcPr>
          <w:p>
            <w:r>
              <w:t>Unânime (D1+D2+D3+D4+D5)</w:t>
            </w:r>
          </w:p>
        </w:tc>
      </w:tr>
      <w:tr>
        <w:tc>
          <w:tcPr>
            <w:tcW w:type="dxa" w:w="4824"/>
          </w:tcPr>
          <w:p>
            <w:r>
              <w:t>Ajaccio = boi de piranha; Bonifácio = casca real</w:t>
            </w:r>
          </w:p>
        </w:tc>
        <w:tc>
          <w:tcPr>
            <w:tcW w:type="dxa" w:w="4824"/>
          </w:tcPr>
          <w:p>
            <w:r>
              <w:t>Tese-âncora (D2+D3+D5)</w:t>
            </w:r>
          </w:p>
        </w:tc>
      </w:tr>
      <w:tr>
        <w:tc>
          <w:tcPr>
            <w:tcW w:type="dxa" w:w="4824"/>
          </w:tcPr>
          <w:p>
            <w:r>
              <w:t>Confissão da origem das cotas (DIRPF AC 2022 + fls. 572)</w:t>
            </w:r>
          </w:p>
        </w:tc>
        <w:tc>
          <w:tcPr>
            <w:tcW w:type="dxa" w:w="4824"/>
          </w:tcPr>
          <w:p>
            <w:r>
              <w:t>Prova robusta (D2+D3+D5)</w:t>
            </w:r>
          </w:p>
        </w:tc>
      </w:tr>
      <w:tr>
        <w:tc>
          <w:tcPr>
            <w:tcW w:type="dxa" w:w="4824"/>
          </w:tcPr>
          <w:p>
            <w:r>
              <w:t>Cisão RT127 31/12/2021 + distrato 05/09/2023 na pendência</w:t>
            </w:r>
          </w:p>
        </w:tc>
        <w:tc>
          <w:tcPr>
            <w:tcW w:type="dxa" w:w="4824"/>
          </w:tcPr>
          <w:p>
            <w:r>
              <w:t>CPC 792 (D2+D3+D5)</w:t>
            </w:r>
          </w:p>
        </w:tc>
      </w:tr>
      <w:tr>
        <w:tc>
          <w:tcPr>
            <w:tcW w:type="dxa" w:w="4824"/>
          </w:tcPr>
          <w:p>
            <w:r>
              <w:t>Estoppel bancário (R$ 133+ MM aprovados)</w:t>
            </w:r>
          </w:p>
        </w:tc>
        <w:tc>
          <w:tcPr>
            <w:tcW w:type="dxa" w:w="4824"/>
          </w:tcPr>
          <w:p>
            <w:r>
              <w:t>Contraprova de iliquidez (D3+D5)</w:t>
            </w:r>
          </w:p>
        </w:tc>
      </w:tr>
      <w:tr>
        <w:tc>
          <w:tcPr>
            <w:tcW w:type="dxa" w:w="4824"/>
          </w:tcPr>
          <w:p>
            <w:r>
              <w:t>Cluster Bela Cintra — CC 50 §2º</w:t>
            </w:r>
          </w:p>
        </w:tc>
        <w:tc>
          <w:tcPr>
            <w:tcW w:type="dxa" w:w="4824"/>
          </w:tcPr>
          <w:p>
            <w:r>
              <w:t>IDPJ sustentável (D3+D4+D5)</w:t>
            </w:r>
          </w:p>
        </w:tc>
      </w:tr>
      <w:tr>
        <w:tc>
          <w:tcPr>
            <w:tcW w:type="dxa" w:w="4824"/>
          </w:tcPr>
          <w:p>
            <w:r>
              <w:t>Quantum L1 documentado = R$ 134.410.998,32</w:t>
            </w:r>
          </w:p>
        </w:tc>
        <w:tc>
          <w:tcPr>
            <w:tcW w:type="dxa" w:w="4824"/>
          </w:tcPr>
          <w:p>
            <w:r>
              <w:t>Aritmética conferida (D5 S9)</w:t>
            </w:r>
          </w:p>
        </w:tc>
      </w:tr>
    </w:tbl>
    <w:p/>
    <w:p>
      <w:pPr>
        <w:pStyle w:val="Heading1"/>
      </w:pPr>
      <w:r>
        <w:rPr>
          <w:color w:val="1A1A1A"/>
        </w:rPr>
        <w:t>4. Oito pendências de saneamento — antes da peça subscrita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Pendência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Providência</w:t>
            </w:r>
          </w:p>
        </w:tc>
      </w:tr>
      <w:tr>
        <w:tc>
          <w:tcPr>
            <w:tcW w:type="dxa" w:w="2412"/>
          </w:tcPr>
          <w:p>
            <w:r>
              <w:t>P1</w:t>
            </w:r>
          </w:p>
        </w:tc>
        <w:tc>
          <w:tcPr>
            <w:tcW w:type="dxa" w:w="2412"/>
          </w:tcPr>
          <w:p>
            <w:r>
              <w:t>CNPJs incompletos (Avila, Brescia, Vinci GP, Trafalgar, Grant Thornton — "0001-XX")</w:t>
            </w:r>
          </w:p>
        </w:tc>
        <w:tc>
          <w:tcPr>
            <w:tcW w:type="dxa" w:w="2412"/>
          </w:tcPr>
          <w:p>
            <w:r>
              <w:t>Pedido nominal rejeitado por imprecisão</w:t>
            </w:r>
          </w:p>
        </w:tc>
        <w:tc>
          <w:tcPr>
            <w:tcW w:type="dxa" w:w="2412"/>
          </w:tcPr>
          <w:p>
            <w:r>
              <w:t>Completar dígitos via RFB/JUCESP</w:t>
            </w:r>
          </w:p>
        </w:tc>
      </w:tr>
      <w:tr>
        <w:tc>
          <w:tcPr>
            <w:tcW w:type="dxa" w:w="2412"/>
          </w:tcPr>
          <w:p>
            <w:r>
              <w:t>P2</w:t>
            </w:r>
          </w:p>
        </w:tc>
        <w:tc>
          <w:tcPr>
            <w:tcW w:type="dxa" w:w="2412"/>
          </w:tcPr>
          <w:p>
            <w:r>
              <w:t>Interbeverages — dois CNPJs (25.383.665 × 30.810.897)</w:t>
            </w:r>
          </w:p>
        </w:tc>
        <w:tc>
          <w:tcPr>
            <w:tcW w:type="dxa" w:w="2412"/>
          </w:tcPr>
          <w:p>
            <w:r>
              <w:t>Rota R5 cai por homonímia</w:t>
            </w:r>
          </w:p>
        </w:tc>
        <w:tc>
          <w:tcPr>
            <w:tcW w:type="dxa" w:w="2412"/>
          </w:tcPr>
          <w:p>
            <w:r>
              <w:t>Entity resolution; só R5 com CNPJ confirmado</w:t>
            </w:r>
          </w:p>
        </w:tc>
      </w:tr>
      <w:tr>
        <w:tc>
          <w:tcPr>
            <w:tcW w:type="dxa" w:w="2412"/>
          </w:tcPr>
          <w:p>
            <w:r>
              <w:t>P3</w:t>
            </w:r>
          </w:p>
        </w:tc>
        <w:tc>
          <w:tcPr>
            <w:tcW w:type="dxa" w:w="2412"/>
          </w:tcPr>
          <w:p>
            <w:r>
              <w:t>Divergência DOU 28/05/2024 — FRAM 17.079.937 × OSLO 13.673.855</w:t>
            </w:r>
          </w:p>
        </w:tc>
        <w:tc>
          <w:tcPr>
            <w:tcW w:type="dxa" w:w="2412"/>
          </w:tcPr>
          <w:p>
            <w:r>
              <w:t>Defesa argui "entidades distintas"</w:t>
            </w:r>
          </w:p>
        </w:tc>
        <w:tc>
          <w:tcPr>
            <w:tcW w:type="dxa" w:w="2412"/>
          </w:tcPr>
          <w:p>
            <w:r>
              <w:t>Certidão JUCESP + reconciliação registral</w:t>
            </w:r>
          </w:p>
        </w:tc>
      </w:tr>
      <w:tr>
        <w:tc>
          <w:tcPr>
            <w:tcW w:type="dxa" w:w="2412"/>
          </w:tcPr>
          <w:p>
            <w:r>
              <w:t>P4</w:t>
            </w:r>
          </w:p>
        </w:tc>
        <w:tc>
          <w:tcPr>
            <w:tcW w:type="dxa" w:w="2412"/>
          </w:tcPr>
          <w:p>
            <w:r>
              <w:t>Antony Martins Interbeverages — data 26/01/2026</w:t>
            </w:r>
          </w:p>
        </w:tc>
        <w:tc>
          <w:tcPr>
            <w:tcW w:type="dxa" w:w="2412"/>
          </w:tcPr>
          <w:p>
            <w:r>
              <w:t>Enfraquece "transição de facto"</w:t>
            </w:r>
          </w:p>
        </w:tc>
        <w:tc>
          <w:tcPr>
            <w:tcW w:type="dxa" w:w="2412"/>
          </w:tcPr>
          <w:p>
            <w:r>
              <w:t>Confirmar QSA/CNPJ.a antes do uso</w:t>
            </w:r>
          </w:p>
        </w:tc>
      </w:tr>
      <w:tr>
        <w:tc>
          <w:tcPr>
            <w:tcW w:type="dxa" w:w="2412"/>
          </w:tcPr>
          <w:p>
            <w:r>
              <w:t>P5</w:t>
            </w:r>
          </w:p>
        </w:tc>
        <w:tc>
          <w:tcPr>
            <w:tcW w:type="dxa" w:w="2412"/>
          </w:tcPr>
          <w:p>
            <w:r>
              <w:t>Quantum L2/L3 (R$ 631 MM / R$ 1,21 bi)</w:t>
            </w:r>
          </w:p>
        </w:tc>
        <w:tc>
          <w:tcPr>
            <w:tcW w:type="dxa" w:w="2412"/>
          </w:tcPr>
          <w:p>
            <w:r>
              <w:t>Apresentar como líquido entrega réplica MTM</w:t>
            </w:r>
          </w:p>
        </w:tc>
        <w:tc>
          <w:tcPr>
            <w:tcW w:type="dxa" w:w="2412"/>
          </w:tcPr>
          <w:p>
            <w:r>
              <w:t>Etiqueta de nível probatório; nunca em pedido líquido</w:t>
            </w:r>
          </w:p>
        </w:tc>
      </w:tr>
      <w:tr>
        <w:tc>
          <w:tcPr>
            <w:tcW w:type="dxa" w:w="2412"/>
          </w:tcPr>
          <w:p>
            <w:r>
              <w:t>P6</w:t>
            </w:r>
          </w:p>
        </w:tc>
        <w:tc>
          <w:tcPr>
            <w:tcW w:type="dxa" w:w="2412"/>
          </w:tcPr>
          <w:p>
            <w:r>
              <w:t>Bonifácio FIP — confirmação CVM e ato de constituição</w:t>
            </w:r>
          </w:p>
        </w:tc>
        <w:tc>
          <w:tcPr>
            <w:tcW w:type="dxa" w:w="2412"/>
          </w:tcPr>
          <w:p>
            <w:r>
              <w:t>Indisponibilidade premonitória cai</w:t>
            </w:r>
          </w:p>
        </w:tc>
        <w:tc>
          <w:tcPr>
            <w:tcW w:type="dxa" w:w="2412"/>
          </w:tcPr>
          <w:p>
            <w:r>
              <w:t>Certidão CVM antes do uso</w:t>
            </w:r>
          </w:p>
        </w:tc>
      </w:tr>
      <w:tr>
        <w:tc>
          <w:tcPr>
            <w:tcW w:type="dxa" w:w="2412"/>
          </w:tcPr>
          <w:p>
            <w:r>
              <w:t>P7</w:t>
            </w:r>
          </w:p>
        </w:tc>
        <w:tc>
          <w:tcPr>
            <w:tcW w:type="dxa" w:w="2412"/>
          </w:tcPr>
          <w:p>
            <w:r>
              <w:t>Vila Porto Vinhos/ES — CNPJ-base e ato de assunção de Ari</w:t>
            </w:r>
          </w:p>
        </w:tc>
        <w:tc>
          <w:tcPr>
            <w:tcW w:type="dxa" w:w="2412"/>
          </w:tcPr>
          <w:p>
            <w:r>
              <w:t>Tese de exit vehicle exige primária</w:t>
            </w:r>
          </w:p>
        </w:tc>
        <w:tc>
          <w:tcPr>
            <w:tcW w:type="dxa" w:w="2412"/>
          </w:tcPr>
          <w:p>
            <w:r>
              <w:t>JUCESP/ES + ata/contrato</w:t>
            </w:r>
          </w:p>
        </w:tc>
      </w:tr>
      <w:tr>
        <w:tc>
          <w:tcPr>
            <w:tcW w:type="dxa" w:w="2412"/>
          </w:tcPr>
          <w:p>
            <w:r>
              <w:t>P8</w:t>
            </w:r>
          </w:p>
        </w:tc>
        <w:tc>
          <w:tcPr>
            <w:tcW w:type="dxa" w:w="2412"/>
          </w:tcPr>
          <w:p>
            <w:r>
              <w:t>Lei 15.410/2026 (tortura por reiteração)</w:t>
            </w:r>
          </w:p>
        </w:tc>
        <w:tc>
          <w:tcPr>
            <w:tcW w:type="dxa" w:w="2412"/>
          </w:tcPr>
          <w:p>
            <w:r>
              <w:t>Tipo novo sem jurisprudência</w:t>
            </w:r>
          </w:p>
        </w:tc>
        <w:tc>
          <w:tcPr>
            <w:tcW w:type="dxa" w:w="2412"/>
          </w:tcPr>
          <w:p>
            <w:r>
              <w:t>Articular só em sede própria (DEAM/VDD); reserva "em tese"</w:t>
            </w:r>
          </w:p>
        </w:tc>
      </w:tr>
    </w:tbl>
    <w:p/>
    <w:p>
      <w:pPr>
        <w:jc w:val="both"/>
      </w:pPr>
      <w:r>
        <w:rPr>
          <w:b w:val="0"/>
          <w:i/>
        </w:rPr>
        <w:t>Regra de ouro: V1 e V7 sustentam tutela de evidência. V3, V5 e V6 devem ser saneados antes do protocolo.</w:t>
      </w:r>
    </w:p>
    <w:p>
      <w:pPr>
        <w:pStyle w:val="Heading1"/>
      </w:pPr>
      <w:r>
        <w:rPr>
          <w:color w:val="1A1A1A"/>
        </w:rPr>
        <w:t>5. Confronto com a peça Onesti (19/05/2026)</w:t>
      </w:r>
    </w:p>
    <w:p>
      <w:pPr>
        <w:jc w:val="both"/>
      </w:pPr>
      <w:r>
        <w:rPr>
          <w:b w:val="0"/>
          <w:i w:val="0"/>
        </w:rPr>
        <w:t>A peça Onesti articula 20 capítulos espelhados e 21 pedidos (a–u) com arquitetura defensivo-construtiva — mas opera aceitando a premissa adversa de iliquidez ("iliquidez não é incomunicabilidade"). O acervo D1–D5 reorganiza a camada lógica anterior, sem reformar a peça já subscrita.</w:t>
      </w:r>
    </w:p>
    <w:p>
      <w:pPr>
        <w:pStyle w:val="Heading2"/>
      </w:pPr>
      <w:r>
        <w:rPr>
          <w:color w:val="7A0C0C"/>
        </w:rPr>
        <w:t>5.1. Reformulação da frase-tese (validada pelos cinco documentos)</w:t>
      </w:r>
    </w:p>
    <w:p>
      <w:pPr>
        <w:jc w:val="both"/>
      </w:pPr>
      <w:r>
        <w:rPr>
          <w:b w:val="0"/>
          <w:i/>
        </w:rPr>
        <w:t>"Sem prova juntada, sem erro SISBAJUD: a alegação de iliquidez é narrativa não comprovada, e os valores efetivamente capturados são, por definição técnico-normativa do Convênio BACEN-CNJ e da Resolução CNJ 232/2016, líquidos (Camada L2). Iliquidez do FIP — se existe — refere-se às cotas em custódia (Camada L1), não aos valores em conta bancária. A confirmação empírica vem da própria conduta defensiva (pasta entregue em 2023 para revisão) e da reiteração SISBAJUD de 31/03/2026 que capturou regularmente R$ 27.799,79 em depósito a prazo no BTG (código 12). O sistema funciona; o que falta é decisão executiva — não mais discussão técnica."</w:t>
      </w:r>
    </w:p>
    <w:p>
      <w:pPr>
        <w:pStyle w:val="Heading2"/>
      </w:pPr>
      <w:r>
        <w:rPr>
          <w:color w:val="7A0C0C"/>
        </w:rPr>
        <w:t>5.2. Reposicionamento do pedido (d)</w:t>
      </w:r>
    </w:p>
    <w:p>
      <w:pPr>
        <w:jc w:val="both"/>
      </w:pPr>
      <w:r>
        <w:rPr>
          <w:b w:val="0"/>
          <w:i w:val="0"/>
        </w:rPr>
        <w:t>De "saldo residual" para liberação imediata e integral dos R$ 31,9 MM+ retidos há 1.080+ dias, atualizados pela SELIC, sem condicionamento a perícia, fundada em (i) natureza ontológica L2, (ii) inércia probatória do Réu por 1.095 dias, (iii) confirmação empírica pelo SISBAJUD 31/03/2026, (iv) pasta de 2023 como prova performativa autodesconstruída.</w:t>
      </w:r>
    </w:p>
    <w:p>
      <w:pPr>
        <w:pStyle w:val="Heading2"/>
      </w:pPr>
      <w:r>
        <w:rPr>
          <w:color w:val="7A0C0C"/>
        </w:rPr>
        <w:t>5.3. Reposicionamento do XVIII em três planos</w:t>
      </w:r>
    </w:p>
    <w:p>
      <w:pPr>
        <w:jc w:val="both"/>
      </w:pPr>
      <w:r>
        <w:rPr>
          <w:b w:val="0"/>
          <w:i w:val="0"/>
        </w:rPr>
        <w:t>L2 — liberação imediata (não cautela) dos R$ 31,9 MM+. L1 — averbação preventiva perante OSLO/FRAM, BTG e escriturador sobre a posição do Réu no Ajaccio. L1.b — indisponibilidade premonitória sobre a Classe F do Ajaccio e sobre a totalidade do Bonifácio FIP (CPC 301 + 792 + CC 158), com ofício único à OSLO/FRAM cobrindo 2020-2026.</w:t>
      </w:r>
    </w:p>
    <w:p>
      <w:pPr>
        <w:pStyle w:val="Heading2"/>
      </w:pPr>
      <w:r>
        <w:rPr>
          <w:color w:val="7A0C0C"/>
        </w:rPr>
        <w:t>5.4. Reposicionamento do XIV — Cláusula 10.1.7 (Vila Porto)</w:t>
      </w:r>
    </w:p>
    <w:p>
      <w:pPr>
        <w:jc w:val="both"/>
      </w:pPr>
      <w:r>
        <w:rPr>
          <w:b w:val="0"/>
          <w:i w:val="0"/>
        </w:rPr>
        <w:t>A assunção da Diretoria-Geral da Vila Porto Vinhos/ES por Ari em jul/2025, no mesmo polo industrial (CIVIT II/Serra-ES) das três filiais simultâneas da E-Vino (25/06/2025), configura quebra objetiva. Consequências triplas: (i) dívida de R$ 30 MM como passivo do patrimônio comum; (ii) R$ 749.183,38 sob rubrica de non-compete como preço diferido (ativo comum); (iii) renda ativa contradiz alegação de insolvência.</w:t>
      </w:r>
    </w:p>
    <w:p>
      <w:pPr>
        <w:pStyle w:val="Heading1"/>
      </w:pPr>
      <w:r>
        <w:rPr>
          <w:color w:val="1A1A1A"/>
        </w:rPr>
        <w:t>6. A pirâmide validada — cinco camadas</w:t>
      </w:r>
    </w:p>
    <w:p>
      <w:pPr>
        <w:jc w:val="both"/>
      </w:pPr>
      <w:r>
        <w:rPr>
          <w:b w:val="0"/>
          <w:i w:val="0"/>
        </w:rPr>
        <w:t>L5 REPATRIATION — JP2R PTE LTD (SG, 2018) · Anacapri/Brescia/Cetara LLC (DE, fev/2025) · Wine in Black GmbH. Norma: Lei 7.492/86 · ACRA s.196A · CTA 2024/FinCEN BOI.</w:t>
      </w:r>
    </w:p>
    <w:p>
      <w:pPr>
        <w:jc w:val="both"/>
      </w:pPr>
      <w:r>
        <w:rPr>
          <w:b w:val="0"/>
          <w:i w:val="0"/>
        </w:rPr>
        <w:t>L4 CASH-OUT — Bonifácio FIP (casca real) · VOLIMO em liquidação · FRAM XIV (cancelado). Norma: CC 158 · CPC 792 · CPC 301.</w:t>
      </w:r>
    </w:p>
    <w:p>
      <w:pPr>
        <w:jc w:val="both"/>
      </w:pPr>
      <w:r>
        <w:rPr>
          <w:b w:val="0"/>
          <w:i w:val="0"/>
        </w:rPr>
        <w:t>L3 MASTER-HUB — Ajaccio FIP (PL R$ 1,41 bi · 100% E-Vino · boi de piranha) · OSLO/FRAM DTVM (74 fundos) · Vinci · NANSEN II FIDC (default 157%). Norma: RCVM 175/2022 · CP 299.</w:t>
      </w:r>
    </w:p>
    <w:p>
      <w:pPr>
        <w:jc w:val="both"/>
      </w:pPr>
      <w:r>
        <w:rPr>
          <w:b w:val="0"/>
          <w:i w:val="0"/>
        </w:rPr>
        <w:t>L2 LAYERING — Ari Apoio Adm. (pass-through R$ 5,4 MM/ano) · RT127 (cisão) · Interbeverages (R$ 10k → 773,9 MM). Norma: Lei 8.137/90 · CTN 116 p.u. · Lei 9.613/98.</w:t>
      </w:r>
    </w:p>
    <w:p>
      <w:pPr>
        <w:jc w:val="both"/>
      </w:pPr>
      <w:r>
        <w:rPr>
          <w:b w:val="0"/>
          <w:i w:val="0"/>
        </w:rPr>
        <w:t>L1 FEEDERS — E-Vino + Grand Cru + Víssimo + Interbeverages — faturamento ≈ R$ 800 MM-1 bi. 5 bancos aprovaram R$ 133+ MM (estoppel). CC 50 §2º (cluster Bela Cintra).</w:t>
      </w:r>
    </w:p>
    <w:p>
      <w:pPr>
        <w:pStyle w:val="Heading1"/>
      </w:pPr>
      <w:r>
        <w:rPr>
          <w:color w:val="1A1A1A"/>
        </w:rPr>
        <w:t>7. Tipificações em tese — sob CF 5º LVII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#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Tipo em tese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Sede própria</w:t>
            </w:r>
          </w:p>
        </w:tc>
      </w:tr>
      <w:tr>
        <w:tc>
          <w:tcPr>
            <w:tcW w:type="dxa" w:w="2412"/>
          </w:tcPr>
          <w:p>
            <w:r>
              <w:t>T1</w:t>
            </w:r>
          </w:p>
        </w:tc>
        <w:tc>
          <w:tcPr>
            <w:tcW w:type="dxa" w:w="2412"/>
          </w:tcPr>
          <w:p>
            <w:r>
              <w:t>Falsidade ideológica — Acordo declara "separação total" × Mat. 122044 comunhão parcial</w:t>
            </w:r>
          </w:p>
        </w:tc>
        <w:tc>
          <w:tcPr>
            <w:tcW w:type="dxa" w:w="2412"/>
          </w:tcPr>
          <w:p>
            <w:r>
              <w:t>CP 299</w:t>
            </w:r>
          </w:p>
        </w:tc>
        <w:tc>
          <w:tcPr>
            <w:tcW w:type="dxa" w:w="2412"/>
          </w:tcPr>
          <w:p>
            <w:r>
              <w:t>MP-SP / GAECO</w:t>
            </w:r>
          </w:p>
        </w:tc>
      </w:tr>
      <w:tr>
        <w:tc>
          <w:tcPr>
            <w:tcW w:type="dxa" w:w="2412"/>
          </w:tcPr>
          <w:p>
            <w:r>
              <w:t>T2</w:t>
            </w:r>
          </w:p>
        </w:tc>
        <w:tc>
          <w:tcPr>
            <w:tcW w:type="dxa" w:w="2412"/>
          </w:tcPr>
          <w:p>
            <w:r>
              <w:t>Fraude à execução — esvaziamento e cisão na pendência</w:t>
            </w:r>
          </w:p>
        </w:tc>
        <w:tc>
          <w:tcPr>
            <w:tcW w:type="dxa" w:w="2412"/>
          </w:tcPr>
          <w:p>
            <w:r>
              <w:t>CPC 792 V e §1º · CC 158</w:t>
            </w:r>
          </w:p>
        </w:tc>
        <w:tc>
          <w:tcPr>
            <w:tcW w:type="dxa" w:w="2412"/>
          </w:tcPr>
          <w:p>
            <w:r>
              <w:t>Vara da causa</w:t>
            </w:r>
          </w:p>
        </w:tc>
      </w:tr>
      <w:tr>
        <w:tc>
          <w:tcPr>
            <w:tcW w:type="dxa" w:w="2412"/>
          </w:tcPr>
          <w:p>
            <w:r>
              <w:t>T3</w:t>
            </w:r>
          </w:p>
        </w:tc>
        <w:tc>
          <w:tcPr>
            <w:tcW w:type="dxa" w:w="2412"/>
          </w:tcPr>
          <w:p>
            <w:r>
              <w:t>Estelionato (em tese) — indução do juízo em erro</w:t>
            </w:r>
          </w:p>
        </w:tc>
        <w:tc>
          <w:tcPr>
            <w:tcW w:type="dxa" w:w="2412"/>
          </w:tcPr>
          <w:p>
            <w:r>
              <w:t>CP 171</w:t>
            </w:r>
          </w:p>
        </w:tc>
        <w:tc>
          <w:tcPr>
            <w:tcW w:type="dxa" w:w="2412"/>
          </w:tcPr>
          <w:p>
            <w:r>
              <w:t>Notícia-crime própria (com lastro)</w:t>
            </w:r>
          </w:p>
        </w:tc>
      </w:tr>
      <w:tr>
        <w:tc>
          <w:tcPr>
            <w:tcW w:type="dxa" w:w="2412"/>
          </w:tcPr>
          <w:p>
            <w:r>
              <w:t>T4</w:t>
            </w:r>
          </w:p>
        </w:tc>
        <w:tc>
          <w:tcPr>
            <w:tcW w:type="dxa" w:w="2412"/>
          </w:tcPr>
          <w:p>
            <w:r>
              <w:t>Lavagem — 5 rotas AML (R1–R5)</w:t>
            </w:r>
          </w:p>
        </w:tc>
        <w:tc>
          <w:tcPr>
            <w:tcW w:type="dxa" w:w="2412"/>
          </w:tcPr>
          <w:p>
            <w:r>
              <w:t>Lei 9.613/98 art. 1º · Lei 7.492/86</w:t>
            </w:r>
          </w:p>
        </w:tc>
        <w:tc>
          <w:tcPr>
            <w:tcW w:type="dxa" w:w="2412"/>
          </w:tcPr>
          <w:p>
            <w:r>
              <w:t>COAF/RIF + MPF + BACEN</w:t>
            </w:r>
          </w:p>
        </w:tc>
      </w:tr>
      <w:tr>
        <w:tc>
          <w:tcPr>
            <w:tcW w:type="dxa" w:w="2412"/>
          </w:tcPr>
          <w:p>
            <w:r>
              <w:t>T5</w:t>
            </w:r>
          </w:p>
        </w:tc>
        <w:tc>
          <w:tcPr>
            <w:tcW w:type="dxa" w:w="2412"/>
          </w:tcPr>
          <w:p>
            <w:r>
              <w:t>Evasão de divisas — JP2R/Delaware/Munique</w:t>
            </w:r>
          </w:p>
        </w:tc>
        <w:tc>
          <w:tcPr>
            <w:tcW w:type="dxa" w:w="2412"/>
          </w:tcPr>
          <w:p>
            <w:r>
              <w:t>Lei 7.492/86 art. 22 · ACRA s.196A · FATCA/CRS</w:t>
            </w:r>
          </w:p>
        </w:tc>
        <w:tc>
          <w:tcPr>
            <w:tcW w:type="dxa" w:w="2412"/>
          </w:tcPr>
          <w:p>
            <w:r>
              <w:t>BACEN + MPF + MLAT</w:t>
            </w:r>
          </w:p>
        </w:tc>
      </w:tr>
      <w:tr>
        <w:tc>
          <w:tcPr>
            <w:tcW w:type="dxa" w:w="2412"/>
          </w:tcPr>
          <w:p>
            <w:r>
              <w:t>T6</w:t>
            </w:r>
          </w:p>
        </w:tc>
        <w:tc>
          <w:tcPr>
            <w:tcW w:type="dxa" w:w="2412"/>
          </w:tcPr>
          <w:p>
            <w:r>
              <w:t>Violência patrimonial continuada</w:t>
            </w:r>
          </w:p>
        </w:tc>
        <w:tc>
          <w:tcPr>
            <w:tcW w:type="dxa" w:w="2412"/>
          </w:tcPr>
          <w:p>
            <w:r>
              <w:t>Lei 11.340/2006 art. 7º IV · CP 168 · CPC 528 §3º</w:t>
            </w:r>
          </w:p>
        </w:tc>
        <w:tc>
          <w:tcPr>
            <w:tcW w:type="dxa" w:w="2412"/>
          </w:tcPr>
          <w:p>
            <w:r>
              <w:t>JVDFM + vara da causa</w:t>
            </w:r>
          </w:p>
        </w:tc>
      </w:tr>
      <w:tr>
        <w:tc>
          <w:tcPr>
            <w:tcW w:type="dxa" w:w="2412"/>
          </w:tcPr>
          <w:p>
            <w:r>
              <w:t>T7</w:t>
            </w:r>
          </w:p>
        </w:tc>
        <w:tc>
          <w:tcPr>
            <w:tcW w:type="dxa" w:w="2412"/>
          </w:tcPr>
          <w:p>
            <w:r>
              <w:t>Tortura por reiteração (reserva)</w:t>
            </w:r>
          </w:p>
        </w:tc>
        <w:tc>
          <w:tcPr>
            <w:tcW w:type="dxa" w:w="2412"/>
          </w:tcPr>
          <w:p>
            <w:r>
              <w:t>Lei 9.455/97 · Lei 15.410/2026</w:t>
            </w:r>
          </w:p>
        </w:tc>
        <w:tc>
          <w:tcPr>
            <w:tcW w:type="dxa" w:w="2412"/>
          </w:tcPr>
          <w:p>
            <w:r>
              <w:t>DEAM/VDD — sede própria</w:t>
            </w:r>
          </w:p>
        </w:tc>
      </w:tr>
      <w:tr>
        <w:tc>
          <w:tcPr>
            <w:tcW w:type="dxa" w:w="2412"/>
          </w:tcPr>
          <w:p>
            <w:r>
              <w:t>T8</w:t>
            </w:r>
          </w:p>
        </w:tc>
        <w:tc>
          <w:tcPr>
            <w:tcW w:type="dxa" w:w="2412"/>
          </w:tcPr>
          <w:p>
            <w:r>
              <w:t>Irregularidade regulatória — 9 versões regulamento Ajaccio</w:t>
            </w:r>
          </w:p>
        </w:tc>
        <w:tc>
          <w:tcPr>
            <w:tcW w:type="dxa" w:w="2412"/>
          </w:tcPr>
          <w:p>
            <w:r>
              <w:t>RCVM 175/2022 art. 39</w:t>
            </w:r>
          </w:p>
        </w:tc>
        <w:tc>
          <w:tcPr>
            <w:tcW w:type="dxa" w:w="2412"/>
          </w:tcPr>
          <w:p>
            <w:r>
              <w:t>CVM + ANBIMA</w:t>
            </w:r>
          </w:p>
        </w:tc>
      </w:tr>
    </w:tbl>
    <w:p/>
    <w:p>
      <w:pPr>
        <w:pStyle w:val="Heading1"/>
      </w:pPr>
      <w:r>
        <w:rPr>
          <w:color w:val="1A1A1A"/>
        </w:rPr>
        <w:t>8. Estratégia integrada — janela de 30 dias</w:t>
      </w:r>
    </w:p>
    <w:p>
      <w:pPr>
        <w:jc w:val="both"/>
      </w:pPr>
      <w:r>
        <w:rPr>
          <w:b w:val="0"/>
          <w:i w:val="0"/>
        </w:rPr>
        <w:t>M1 — Indisponibilidade premonitória sobre Classe F do Ajaccio + totalidade do Bonifácio FIP (CPC 301 + 792 + CC 158), antes de dar ciência à parte adversa.</w:t>
      </w:r>
    </w:p>
    <w:p>
      <w:pPr>
        <w:jc w:val="both"/>
      </w:pPr>
      <w:r>
        <w:rPr>
          <w:b w:val="0"/>
          <w:i w:val="0"/>
        </w:rPr>
        <w:t>M2 — Ofício único à OSLO/FRAM DTVM (CNPJ 13.673.855) abrangendo 2020-2026 de todos os fundos do Hub 3, sob multa diária CPC 537 não inferior a R$ 50.000,00.</w:t>
      </w:r>
    </w:p>
    <w:p>
      <w:pPr>
        <w:jc w:val="both"/>
      </w:pPr>
      <w:r>
        <w:rPr>
          <w:b w:val="0"/>
          <w:i w:val="0"/>
        </w:rPr>
        <w:t>M3 — Inclusão expansiva e inversa do polo (CC 50): Bonifácio, VOLIMO, Interbeverages, Vila Porto Vinhos, Agro Syrah, com prévia confirmação cadastral (P1–P7).</w:t>
      </w:r>
    </w:p>
    <w:p>
      <w:pPr>
        <w:jc w:val="both"/>
      </w:pPr>
      <w:r>
        <w:rPr>
          <w:b w:val="0"/>
          <w:i w:val="0"/>
        </w:rPr>
        <w:t>M4 — Fechamento internacional: CTA 2024/FinCEN BOI (Delaware — 60 dias, instrumento mais veloz); MLAT Cingapura (JP2R/ACRA s.196A); CRS-OCDE.</w:t>
      </w:r>
    </w:p>
    <w:p>
      <w:pPr>
        <w:jc w:val="both"/>
      </w:pPr>
      <w:r>
        <w:rPr>
          <w:b/>
          <w:i w:val="0"/>
        </w:rPr>
        <w:t>Custo de oportunidade da inércia: ≈ R$ 76.700/dia sobre os R$ 31,9 MM retidos no SISBAJUD (CDI 13,65% a.a.).</w:t>
      </w:r>
    </w:p>
    <w:p>
      <w:pPr>
        <w:pStyle w:val="Heading1"/>
      </w:pPr>
      <w:r>
        <w:rPr>
          <w:color w:val="1A1A1A"/>
        </w:rPr>
        <w:t>9. Roteiro de ação consolidado</w:t>
      </w:r>
    </w:p>
    <w:p>
      <w:pPr>
        <w:jc w:val="both"/>
      </w:pPr>
      <w:r>
        <w:rPr>
          <w:b w:val="0"/>
          <w:i w:val="0"/>
        </w:rPr>
        <w:t>1. Saneamento P1–P7 (RFB/JUCESP/CVM): completar dígitos, reconciliar registros, certificar atos — 5 dias úteis.</w:t>
      </w:r>
    </w:p>
    <w:p>
      <w:pPr>
        <w:jc w:val="both"/>
      </w:pPr>
      <w:r>
        <w:rPr>
          <w:b w:val="0"/>
          <w:i w:val="0"/>
        </w:rPr>
        <w:t>2. Petição complementar à peça Onesti — operando em camada lógica anterior (frase-tese reformulada; L1/L2; pedido (d); XVIII em três planos; Cláusula 10.1.7) — sem reformar o protocolado.</w:t>
      </w:r>
    </w:p>
    <w:p>
      <w:pPr>
        <w:jc w:val="both"/>
      </w:pPr>
      <w:r>
        <w:rPr>
          <w:b w:val="0"/>
          <w:i w:val="0"/>
        </w:rPr>
        <w:t>3. Indisponibilidade premonitória (Bonifácio + Classe F Ajaccio) antes de dar ciência à parte (M1).</w:t>
      </w:r>
    </w:p>
    <w:p>
      <w:pPr>
        <w:jc w:val="both"/>
      </w:pPr>
      <w:r>
        <w:rPr>
          <w:b w:val="0"/>
          <w:i w:val="0"/>
        </w:rPr>
        <w:t>4. Ofício único OSLO/FRAM 2020-2026 com astreintes (M2).</w:t>
      </w:r>
    </w:p>
    <w:p>
      <w:pPr>
        <w:jc w:val="both"/>
      </w:pPr>
      <w:r>
        <w:rPr>
          <w:b w:val="0"/>
          <w:i w:val="0"/>
        </w:rPr>
        <w:t>5. Distribuição institucional: COAF/RIF (R1, R5); MPF + BACEN (R3, T5); CVM (T8); MP-SP/GAECO (T1, T2); DEAM/VDD (T7).</w:t>
      </w:r>
    </w:p>
    <w:p>
      <w:pPr>
        <w:jc w:val="both"/>
      </w:pPr>
      <w:r>
        <w:rPr>
          <w:b w:val="0"/>
          <w:i w:val="0"/>
        </w:rPr>
        <w:t>6. Acompanhamento da janela de 30 dias e do gatilho CTA 2024/FinCEN (60 dias) sobre as Delaware LLCs.</w:t>
      </w:r>
    </w:p>
    <w:p>
      <w:pPr>
        <w:pStyle w:val="Heading1"/>
      </w:pPr>
      <w:r>
        <w:rPr>
          <w:color w:val="1A1A1A"/>
        </w:rPr>
        <w:t>10. Ressalvas vinculantes do relator</w:t>
      </w:r>
    </w:p>
    <w:p>
      <w:pPr>
        <w:jc w:val="both"/>
      </w:pPr>
      <w:r>
        <w:rPr>
          <w:b w:val="0"/>
          <w:i w:val="0"/>
        </w:rPr>
        <w:t>• Nenhum documento desta série deve ser protocolado como tal — uso processual exige conversão em peça subscrita por OAB e/ou laudo CRC/CORECON (CPC 472).</w:t>
      </w:r>
    </w:p>
    <w:p>
      <w:pPr>
        <w:jc w:val="both"/>
      </w:pPr>
      <w:r>
        <w:rPr>
          <w:b w:val="0"/>
          <w:i w:val="0"/>
        </w:rPr>
        <w:t>• Tipificações em tese sob presunção de inocência (CF 5º LVII). Tortura por reiteração (T7) permanece em sede própria — não importar executoriedade penal para a cível, sob pena de nulidade.</w:t>
      </w:r>
    </w:p>
    <w:p>
      <w:pPr>
        <w:jc w:val="both"/>
      </w:pPr>
      <w:r>
        <w:rPr>
          <w:b w:val="0"/>
          <w:i w:val="0"/>
        </w:rPr>
        <w:t>• Quantum L2/L3 (R$ 631 MM / R$ 1,21 bi) jamais como base de pedido líquido.</w:t>
      </w:r>
    </w:p>
    <w:p>
      <w:pPr>
        <w:jc w:val="both"/>
      </w:pPr>
      <w:r>
        <w:rPr>
          <w:b w:val="0"/>
          <w:i w:val="0"/>
        </w:rPr>
        <w:t>• Anonimizar PF na versão de circulação externa.</w:t>
      </w:r>
    </w:p>
    <w:p>
      <w:pPr>
        <w:pStyle w:val="Heading1"/>
      </w:pPr>
      <w:r>
        <w:rPr>
          <w:color w:val="1A1A1A"/>
        </w:rPr>
        <w:t>11. Conclusão — voto do relator</w:t>
      </w:r>
    </w:p>
    <w:p>
      <w:pPr>
        <w:jc w:val="both"/>
      </w:pPr>
      <w:r>
        <w:rPr>
          <w:b w:val="0"/>
          <w:i w:val="0"/>
        </w:rPr>
        <w:t>Acervo validado como coerente, convergente e tecnicamente sólido. A correção de premissa (cotas Ajaccio têm origem confessa em ações E-Vino) elimina o flanco principal da defesa. O SISBAJUD 31/03/2026 confirma empiricamente a desmontagem do "devaneio + erro SISBAJUD". A horizontal Onesti é preservada; a camada de fechamento opera antes, em petição complementar.</w:t>
      </w:r>
    </w:p>
    <w:p>
      <w:pPr>
        <w:jc w:val="both"/>
      </w:pPr>
      <w:r>
        <w:rPr>
          <w:b/>
          <w:i w:val="0"/>
        </w:rPr>
        <w:t>Voto pela APROVAÇÃO do acervo, condicionada ao saneamento dos oito itens P1–P8 antes do uso em peça subscrita, e pela EXECUÇÃO IMEDIATA dos quatro movimentos coordenados na janela de 30 dias.</w:t>
      </w:r>
    </w:p>
    <w:p>
      <w:pPr>
        <w:pStyle w:val="Heading1"/>
      </w:pPr>
      <w:r>
        <w:rPr>
          <w:color w:val="1A1A1A"/>
        </w:rPr>
        <w:t>Anexo — Quantum L1 documentado (R$ 134.410.998,32)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Fonte</w:t>
            </w:r>
          </w:p>
        </w:tc>
      </w:tr>
      <w:tr>
        <w:tc>
          <w:tcPr>
            <w:tcW w:type="dxa" w:w="3216"/>
          </w:tcPr>
          <w:p>
            <w:r>
              <w:t>P1 — FIP Ajaccio (2,22% Ari sobre PL R$ 1,41 bi)</w:t>
            </w:r>
          </w:p>
        </w:tc>
        <w:tc>
          <w:tcPr>
            <w:tcW w:type="dxa" w:w="3216"/>
          </w:tcPr>
          <w:p>
            <w:r>
              <w:t>R$ 34.854.000,00</w:t>
            </w:r>
          </w:p>
        </w:tc>
        <w:tc>
          <w:tcPr>
            <w:tcW w:type="dxa" w:w="3216"/>
          </w:tcPr>
          <w:p>
            <w:r>
              <w:t>CVM + Acordo de Cotistas</w:t>
            </w:r>
          </w:p>
        </w:tc>
      </w:tr>
      <w:tr>
        <w:tc>
          <w:tcPr>
            <w:tcW w:type="dxa" w:w="3216"/>
          </w:tcPr>
          <w:p>
            <w:r>
              <w:t>P2 — Inter Lover Icatu Prev. Qualif. FIF</w:t>
            </w:r>
          </w:p>
        </w:tc>
        <w:tc>
          <w:tcPr>
            <w:tcW w:type="dxa" w:w="3216"/>
          </w:tcPr>
          <w:p>
            <w:r>
              <w:t>R$ 10.503.463,66</w:t>
            </w:r>
          </w:p>
        </w:tc>
        <w:tc>
          <w:tcPr>
            <w:tcW w:type="dxa" w:w="3216"/>
          </w:tcPr>
          <w:p>
            <w:r>
              <w:t>BEM/Bradesco — SCW CVM mai/2025</w:t>
            </w:r>
          </w:p>
        </w:tc>
      </w:tr>
      <w:tr>
        <w:tc>
          <w:tcPr>
            <w:tcW w:type="dxa" w:w="3216"/>
          </w:tcPr>
          <w:p>
            <w:r>
              <w:t>P3 — Dario &amp; Porto Prev. Exclusivo FIC FIF</w:t>
            </w:r>
          </w:p>
        </w:tc>
        <w:tc>
          <w:tcPr>
            <w:tcW w:type="dxa" w:w="3216"/>
          </w:tcPr>
          <w:p>
            <w:r>
              <w:t>R$ 7.386.301,00</w:t>
            </w:r>
          </w:p>
        </w:tc>
        <w:tc>
          <w:tcPr>
            <w:tcW w:type="dxa" w:w="3216"/>
          </w:tcPr>
          <w:p>
            <w:r>
              <w:t>BEM/Bradesco — SCW CVM set/2024</w:t>
            </w:r>
          </w:p>
        </w:tc>
      </w:tr>
      <w:tr>
        <w:tc>
          <w:tcPr>
            <w:tcW w:type="dxa" w:w="3216"/>
          </w:tcPr>
          <w:p>
            <w:r>
              <w:t>P4 — Multigestores Prev. SulAmérica Exclusivo</w:t>
            </w:r>
          </w:p>
        </w:tc>
        <w:tc>
          <w:tcPr>
            <w:tcW w:type="dxa" w:w="3216"/>
          </w:tcPr>
          <w:p>
            <w:r>
              <w:t>R$ 49.742.140,35</w:t>
            </w:r>
          </w:p>
        </w:tc>
        <w:tc>
          <w:tcPr>
            <w:tcW w:type="dxa" w:w="3216"/>
          </w:tcPr>
          <w:p>
            <w:r>
              <w:t>SulAmérica DTVM jan/2025</w:t>
            </w:r>
          </w:p>
        </w:tc>
      </w:tr>
      <w:tr>
        <w:tc>
          <w:tcPr>
            <w:tcW w:type="dxa" w:w="3216"/>
          </w:tcPr>
          <w:p>
            <w:r>
              <w:t>P5 — BTG conta PF (retido 33+ meses)</w:t>
            </w:r>
          </w:p>
        </w:tc>
        <w:tc>
          <w:tcPr>
            <w:tcW w:type="dxa" w:w="3216"/>
          </w:tcPr>
          <w:p>
            <w:r>
              <w:t>R$ 31.925.193,31</w:t>
            </w:r>
          </w:p>
        </w:tc>
        <w:tc>
          <w:tcPr>
            <w:tcW w:type="dxa" w:w="3216"/>
          </w:tcPr>
          <w:p>
            <w:r>
              <w:t>SISBAJUD histórico + extratos</w:t>
            </w:r>
          </w:p>
        </w:tc>
      </w:tr>
      <w:tr>
        <w:tc>
          <w:tcPr>
            <w:tcW w:type="dxa" w:w="3216"/>
          </w:tcPr>
          <w:p>
            <w:r>
              <w:t>SUBTOTAL L1</w:t>
            </w:r>
          </w:p>
        </w:tc>
        <w:tc>
          <w:tcPr>
            <w:tcW w:type="dxa" w:w="3216"/>
          </w:tcPr>
          <w:p>
            <w:r>
              <w:t>R$ 134.410.998,32</w:t>
            </w:r>
          </w:p>
        </w:tc>
        <w:tc>
          <w:tcPr>
            <w:tcW w:type="dxa" w:w="3216"/>
          </w:tcPr>
          <w:p>
            <w:r>
              <w:t>petição MPU 1517557-18</w:t>
            </w:r>
          </w:p>
        </w:tc>
      </w:tr>
    </w:tbl>
    <w:p/>
    <w:p>
      <w:pPr>
        <w:jc w:val="center"/>
      </w:pPr>
      <w:r>
        <w:rPr>
          <w:i/>
          <w:sz w:val="17"/>
        </w:rPr>
        <w:t>Série DOSSIÊS E NOTAS TÉCNICAS — documento 13 · 11/06/2026 · CONFIDENCIAL — uso restrito da equipe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