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PARECER-RELATOR · VALIDAÇÃO CRUZADA DO ACERVO WAR ROOM v1.0</w:t>
      </w:r>
    </w:p>
    <w:p>
      <w:pPr>
        <w:jc w:val="center"/>
      </w:pPr>
      <w:r>
        <w:rPr>
          <w:i/>
          <w:sz w:val="19"/>
        </w:rPr>
        <w:t>A confissão de fls. 572/575 fecha a comunicabilidade — o acervo desenha a rota</w:t>
        <w:br/>
        <w:t>Autos 1006744-58.2023.8.26.0011 · 1ª VF Pinheiros/SP · Data-base 30/05/2023 · Emissão 12/06/2026</w:t>
        <w:br/>
        <w:t>CONFIDENCIAL — uso restrito da equipe</w:t>
      </w:r>
    </w:p>
    <w:p>
      <w:pPr>
        <w:pStyle w:val="Heading1"/>
      </w:pPr>
      <w:r>
        <w:rPr>
          <w:color w:val="1A1A1A"/>
        </w:rPr>
        <w:t>1. Síntese executiva — voto do relator</w:t>
      </w:r>
    </w:p>
    <w:p>
      <w:pPr>
        <w:jc w:val="both"/>
      </w:pPr>
      <w:r>
        <w:rPr>
          <w:b w:val="0"/>
          <w:i w:val="0"/>
        </w:rPr>
        <w:t>O acervo War Room v1.0 é tecnicamente consistente, internamente coerente, e — esta é a novidade decisiva — já não precisa que a comunicabilidade seja demonstrada: ela está fechada por confissão expressa do Requerido nos próprios autos, às fls. 572 e 575.</w:t>
      </w:r>
    </w:p>
    <w:p>
      <w:pPr>
        <w:jc w:val="both"/>
      </w:pPr>
      <w:r>
        <w:rPr>
          <w:b w:val="0"/>
          <w:i w:val="0"/>
        </w:rPr>
        <w:t>O War Room executou o pivô correto: parou de discutir se as cotas são comunicáveis (questão fechada) e passou a desenhar a rota de efetivação da meação sobre o que já está localizado — R$ 84,86 MM em posição SISBAJUD de mai/2023, com R$ 42,43 MM bloqueados e R$ 52,93 MM certificados posteriormente. A camada offshore-feeder-master é memorial estratégico e instrução de notícia-crime; não é base de pedido cível.</w:t>
      </w:r>
    </w:p>
    <w:p>
      <w:pPr>
        <w:pStyle w:val="Heading1"/>
      </w:pPr>
      <w:r>
        <w:rPr>
          <w:color w:val="1A1A1A"/>
        </w:rPr>
        <w:t>2. Inventário documental do acervo War Room v1.0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412"/>
          </w:tcPr>
          <w:p>
            <w:r>
              <w:rPr>
                <w:b/>
              </w:rPr>
              <w:t>Natureza</w:t>
            </w:r>
          </w:p>
        </w:tc>
        <w:tc>
          <w:tcPr>
            <w:tcW w:type="dxa" w:w="2412"/>
          </w:tcPr>
          <w:p>
            <w:r>
              <w:rPr>
                <w:b/>
              </w:rPr>
              <w:t>Veredito</w:t>
            </w:r>
          </w:p>
        </w:tc>
      </w:tr>
      <w:tr>
        <w:tc>
          <w:tcPr>
            <w:tcW w:type="dxa" w:w="2412"/>
          </w:tcPr>
          <w:p>
            <w:r>
              <w:t>A1</w:t>
            </w:r>
          </w:p>
        </w:tc>
        <w:tc>
          <w:tcPr>
            <w:tcW w:type="dxa" w:w="2412"/>
          </w:tcPr>
          <w:p>
            <w:r>
              <w:t>"A Casa de Cartas de Souza Aranha 153" — Dossiê Integrado v1.0 (PDF 23pp)</w:t>
            </w:r>
          </w:p>
        </w:tc>
        <w:tc>
          <w:tcPr>
            <w:tcW w:type="dxa" w:w="2412"/>
          </w:tcPr>
          <w:p>
            <w:r>
              <w:t>War Room visual</w:t>
            </w:r>
          </w:p>
        </w:tc>
        <w:tc>
          <w:tcPr>
            <w:tcW w:type="dxa" w:w="2412"/>
          </w:tcPr>
          <w:p>
            <w:r>
              <w:t>Validado E1</w:t>
            </w:r>
          </w:p>
        </w:tc>
      </w:tr>
      <w:tr>
        <w:tc>
          <w:tcPr>
            <w:tcW w:type="dxa" w:w="2412"/>
          </w:tcPr>
          <w:p>
            <w:r>
              <w:t>A2</w:t>
            </w:r>
          </w:p>
        </w:tc>
        <w:tc>
          <w:tcPr>
            <w:tcW w:type="dxa" w:w="2412"/>
          </w:tcPr>
          <w:p>
            <w:r>
              <w:t>Relatório Mestre Integrado v1.0 — HTML (10/06/2026)</w:t>
            </w:r>
          </w:p>
        </w:tc>
        <w:tc>
          <w:tcPr>
            <w:tcW w:type="dxa" w:w="2412"/>
          </w:tcPr>
          <w:p>
            <w:r>
              <w:t>War Room expandido em 19 módulos</w:t>
            </w:r>
          </w:p>
        </w:tc>
        <w:tc>
          <w:tcPr>
            <w:tcW w:type="dxa" w:w="2412"/>
          </w:tcPr>
          <w:p>
            <w:r>
              <w:t>Validado E1 — peça-mãe</w:t>
            </w:r>
          </w:p>
        </w:tc>
      </w:tr>
      <w:tr>
        <w:tc>
          <w:tcPr>
            <w:tcW w:type="dxa" w:w="2412"/>
          </w:tcPr>
          <w:p>
            <w:r>
              <w:t>A3</w:t>
            </w:r>
          </w:p>
        </w:tc>
        <w:tc>
          <w:tcPr>
            <w:tcW w:type="dxa" w:w="2412"/>
          </w:tcPr>
          <w:p>
            <w:r>
              <w:t>Caderno de Observações do Relator (DOCX)</w:t>
            </w:r>
          </w:p>
        </w:tc>
        <w:tc>
          <w:tcPr>
            <w:tcW w:type="dxa" w:w="2412"/>
          </w:tcPr>
          <w:p>
            <w:r>
              <w:t>Calibragem fato/inferência/hipótese</w:t>
            </w:r>
          </w:p>
        </w:tc>
        <w:tc>
          <w:tcPr>
            <w:tcW w:type="dxa" w:w="2412"/>
          </w:tcPr>
          <w:p>
            <w:r>
              <w:t>Validado E1 — disciplina probatória</w:t>
            </w:r>
          </w:p>
        </w:tc>
      </w:tr>
      <w:tr>
        <w:tc>
          <w:tcPr>
            <w:tcW w:type="dxa" w:w="2412"/>
          </w:tcPr>
          <w:p>
            <w:r>
              <w:t>A4</w:t>
            </w:r>
          </w:p>
        </w:tc>
        <w:tc>
          <w:tcPr>
            <w:tcW w:type="dxa" w:w="2412"/>
          </w:tcPr>
          <w:p>
            <w:r>
              <w:t>"Atue como PhD parecerista/relator" (DOCX)</w:t>
            </w:r>
          </w:p>
        </w:tc>
        <w:tc>
          <w:tcPr>
            <w:tcW w:type="dxa" w:w="2412"/>
          </w:tcPr>
          <w:p>
            <w:r>
              <w:t>Rotina metodológica L1-L3 / E1-E4 / 5 eixos</w:t>
            </w:r>
          </w:p>
        </w:tc>
        <w:tc>
          <w:tcPr>
            <w:tcW w:type="dxa" w:w="2412"/>
          </w:tcPr>
          <w:p>
            <w:r>
              <w:t>Validado com ressalva — fontes web a confirmar</w:t>
            </w:r>
          </w:p>
        </w:tc>
      </w:tr>
      <w:tr>
        <w:tc>
          <w:tcPr>
            <w:tcW w:type="dxa" w:w="2412"/>
          </w:tcPr>
          <w:p>
            <w:r>
              <w:t>A5</w:t>
            </w:r>
          </w:p>
        </w:tc>
        <w:tc>
          <w:tcPr>
            <w:tcW w:type="dxa" w:w="2412"/>
          </w:tcPr>
          <w:p>
            <w:r>
              <w:t>Organogramas I, II e III (PNG)</w:t>
            </w:r>
          </w:p>
        </w:tc>
        <w:tc>
          <w:tcPr>
            <w:tcW w:type="dxa" w:w="2412"/>
          </w:tcPr>
          <w:p>
            <w:r>
              <w:t>Visualização da arquitetura</w:t>
            </w:r>
          </w:p>
        </w:tc>
        <w:tc>
          <w:tcPr>
            <w:tcW w:type="dxa" w:w="2412"/>
          </w:tcPr>
          <w:p>
            <w:r>
              <w:t>Validado — coerente</w:t>
            </w:r>
          </w:p>
        </w:tc>
      </w:tr>
    </w:tbl>
    <w:p/>
    <w:p>
      <w:pPr>
        <w:jc w:val="both"/>
      </w:pPr>
      <w:r>
        <w:rPr>
          <w:b w:val="0"/>
          <w:i/>
        </w:rPr>
        <w:t>Observação cadastral: os dois arquivos caderno_observacoes_relator.docx têm MD5 idênticos — é o mesmo documento. Tratamento: item único A3.</w:t>
      </w:r>
    </w:p>
    <w:p>
      <w:pPr>
        <w:pStyle w:val="Heading1"/>
      </w:pPr>
      <w:r>
        <w:rPr>
          <w:color w:val="1A1A1A"/>
        </w:rPr>
        <w:t>3. Convergência cruzada — A1 = A2 com A3/A4/A5 calibrando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Eixo</w:t>
            </w:r>
          </w:p>
        </w:tc>
        <w:tc>
          <w:tcPr>
            <w:tcW w:type="dxa" w:w="4824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4824"/>
          </w:tcPr>
          <w:p>
            <w:r>
              <w:t>Pirâmide L1–L5 master-feeder-offshore</w:t>
            </w:r>
          </w:p>
        </w:tc>
        <w:tc>
          <w:tcPr>
            <w:tcW w:type="dxa" w:w="4824"/>
          </w:tcPr>
          <w:p>
            <w:r>
              <w:t>Unânime (A1+A2+A3+A4+A5)</w:t>
            </w:r>
          </w:p>
        </w:tc>
      </w:tr>
      <w:tr>
        <w:tc>
          <w:tcPr>
            <w:tcW w:type="dxa" w:w="4824"/>
          </w:tcPr>
          <w:p>
            <w:r>
              <w:t>Bonifácio FIP como casca real (11/02/2025)</w:t>
            </w:r>
          </w:p>
        </w:tc>
        <w:tc>
          <w:tcPr>
            <w:tcW w:type="dxa" w:w="4824"/>
          </w:tcPr>
          <w:p>
            <w:r>
              <w:t>Unânime (A1+A2+A5)</w:t>
            </w:r>
          </w:p>
        </w:tc>
      </w:tr>
      <w:tr>
        <w:tc>
          <w:tcPr>
            <w:tcW w:type="dxa" w:w="4824"/>
          </w:tcPr>
          <w:p>
            <w:r>
              <w:t>SISBAJUD 31/03/2026 (BTG R$ 27.799,79) confirma L2</w:t>
            </w:r>
          </w:p>
        </w:tc>
        <w:tc>
          <w:tcPr>
            <w:tcW w:type="dxa" w:w="4824"/>
          </w:tcPr>
          <w:p>
            <w:r>
              <w:t>Unânime (A1+A2)</w:t>
            </w:r>
          </w:p>
        </w:tc>
      </w:tr>
      <w:tr>
        <w:tc>
          <w:tcPr>
            <w:tcW w:type="dxa" w:w="4824"/>
          </w:tcPr>
          <w:p>
            <w:r>
              <w:t>AGE 31/12/2021 — antinomia Miami/SP</w:t>
            </w:r>
          </w:p>
        </w:tc>
        <w:tc>
          <w:tcPr>
            <w:tcW w:type="dxa" w:w="4824"/>
          </w:tcPr>
          <w:p>
            <w:r>
              <w:t>Unânime (A1+A2)</w:t>
            </w:r>
          </w:p>
        </w:tc>
      </w:tr>
      <w:tr>
        <w:tc>
          <w:tcPr>
            <w:tcW w:type="dxa" w:w="4824"/>
          </w:tcPr>
          <w:p>
            <w:r>
              <w:t>Atestado psiquiátrico 05/05/2026</w:t>
            </w:r>
          </w:p>
        </w:tc>
        <w:tc>
          <w:tcPr>
            <w:tcW w:type="dxa" w:w="4824"/>
          </w:tcPr>
          <w:p>
            <w:r>
              <w:t>Unânime (A1+A2)</w:t>
            </w:r>
          </w:p>
        </w:tc>
      </w:tr>
      <w:tr>
        <w:tc>
          <w:tcPr>
            <w:tcW w:type="dxa" w:w="4824"/>
          </w:tcPr>
          <w:p>
            <w:r>
              <w:t>Confissão fls. 572/575 — peça-âncora</w:t>
            </w:r>
          </w:p>
        </w:tc>
        <w:tc>
          <w:tcPr>
            <w:tcW w:type="dxa" w:w="4824"/>
          </w:tcPr>
          <w:p>
            <w:r>
              <w:t>Decisiva (A1+A2)</w:t>
            </w:r>
          </w:p>
        </w:tc>
      </w:tr>
      <w:tr>
        <w:tc>
          <w:tcPr>
            <w:tcW w:type="dxa" w:w="4824"/>
          </w:tcPr>
          <w:p>
            <w:r>
              <w:t>Cluster Souza Aranha 153 — CC 50 §2º</w:t>
            </w:r>
          </w:p>
        </w:tc>
        <w:tc>
          <w:tcPr>
            <w:tcW w:type="dxa" w:w="4824"/>
          </w:tcPr>
          <w:p>
            <w:r>
              <w:t>Unânime (A1+A2+A5)</w:t>
            </w:r>
          </w:p>
        </w:tc>
      </w:tr>
      <w:tr>
        <w:tc>
          <w:tcPr>
            <w:tcW w:type="dxa" w:w="4824"/>
          </w:tcPr>
          <w:p>
            <w:r>
              <w:t>RT 127 — cisão + distrato 05/09/2023</w:t>
            </w:r>
          </w:p>
        </w:tc>
        <w:tc>
          <w:tcPr>
            <w:tcW w:type="dxa" w:w="4824"/>
          </w:tcPr>
          <w:p>
            <w:r>
              <w:t>Unânime (A1+A2+A4)</w:t>
            </w:r>
          </w:p>
        </w:tc>
      </w:tr>
      <w:tr>
        <w:tc>
          <w:tcPr>
            <w:tcW w:type="dxa" w:w="4824"/>
          </w:tcPr>
          <w:p>
            <w:r>
              <w:t>JP2R Singapura — offshore-âncora</w:t>
            </w:r>
          </w:p>
        </w:tc>
        <w:tc>
          <w:tcPr>
            <w:tcW w:type="dxa" w:w="4824"/>
          </w:tcPr>
          <w:p>
            <w:r>
              <w:t>Unânime (A1+A2+A4+A5)</w:t>
            </w:r>
          </w:p>
        </w:tc>
      </w:tr>
      <w:tr>
        <w:tc>
          <w:tcPr>
            <w:tcW w:type="dxa" w:w="4824"/>
          </w:tcPr>
          <w:p>
            <w:r>
              <w:t>Tese sanatória P1–P5</w:t>
            </w:r>
          </w:p>
        </w:tc>
        <w:tc>
          <w:tcPr>
            <w:tcW w:type="dxa" w:w="4824"/>
          </w:tcPr>
          <w:p>
            <w:r>
              <w:t>Unânime (A1+A2)</w:t>
            </w:r>
          </w:p>
        </w:tc>
      </w:tr>
    </w:tbl>
    <w:p/>
    <w:p>
      <w:pPr>
        <w:pStyle w:val="Heading1"/>
      </w:pPr>
      <w:r>
        <w:rPr>
          <w:color w:val="1A1A1A"/>
        </w:rPr>
        <w:t>4. Três reconciliações numéricas — antes do uso em peça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412"/>
          </w:tcPr>
          <w:p>
            <w:r>
              <w:rPr>
                <w:b/>
              </w:rPr>
              <w:t>Valor a adotar</w:t>
            </w:r>
          </w:p>
        </w:tc>
        <w:tc>
          <w:tcPr>
            <w:tcW w:type="dxa" w:w="2412"/>
          </w:tcPr>
          <w:p>
            <w:r>
              <w:rPr>
                <w:b/>
              </w:rPr>
              <w:t>Fonte</w:t>
            </w:r>
          </w:p>
        </w:tc>
      </w:tr>
      <w:tr>
        <w:tc>
          <w:tcPr>
            <w:tcW w:type="dxa" w:w="2412"/>
          </w:tcPr>
          <w:p>
            <w:r>
              <w:t>R1</w:t>
            </w:r>
          </w:p>
        </w:tc>
        <w:tc>
          <w:tcPr>
            <w:tcW w:type="dxa" w:w="2412"/>
          </w:tcPr>
          <w:p>
            <w:r>
              <w:t>Posição SISBAJUD consolidada (16/05/2023)</w:t>
            </w:r>
          </w:p>
        </w:tc>
        <w:tc>
          <w:tcPr>
            <w:tcW w:type="dxa" w:w="2412"/>
          </w:tcPr>
          <w:p>
            <w:r>
              <w:t>R$ 84.856.714,65</w:t>
            </w:r>
          </w:p>
        </w:tc>
        <w:tc>
          <w:tcPr>
            <w:tcW w:type="dxa" w:w="2412"/>
          </w:tcPr>
          <w:p>
            <w:r>
              <w:t>Caderno A3 — fls. 188</w:t>
            </w:r>
          </w:p>
        </w:tc>
      </w:tr>
      <w:tr>
        <w:tc>
          <w:tcPr>
            <w:tcW w:type="dxa" w:w="2412"/>
          </w:tcPr>
          <w:p>
            <w:r>
              <w:t>R2</w:t>
            </w:r>
          </w:p>
        </w:tc>
        <w:tc>
          <w:tcPr>
            <w:tcW w:type="dxa" w:w="2412"/>
          </w:tcPr>
          <w:p>
            <w:r>
              <w:t>Ordem de bloqueio (23/05/2023)</w:t>
            </w:r>
          </w:p>
        </w:tc>
        <w:tc>
          <w:tcPr>
            <w:tcW w:type="dxa" w:w="2412"/>
          </w:tcPr>
          <w:p>
            <w:r>
              <w:t>R$ 42.428.357,32</w:t>
            </w:r>
          </w:p>
        </w:tc>
        <w:tc>
          <w:tcPr>
            <w:tcW w:type="dxa" w:w="2412"/>
          </w:tcPr>
          <w:p>
            <w:r>
              <w:t>Caderno A3 — fls. 186</w:t>
            </w:r>
          </w:p>
        </w:tc>
      </w:tr>
      <w:tr>
        <w:tc>
          <w:tcPr>
            <w:tcW w:type="dxa" w:w="2412"/>
          </w:tcPr>
          <w:p>
            <w:r>
              <w:t>R3</w:t>
            </w:r>
          </w:p>
        </w:tc>
        <w:tc>
          <w:tcPr>
            <w:tcW w:type="dxa" w:w="2412"/>
          </w:tcPr>
          <w:p>
            <w:r>
              <w:t>Bloqueio efetivo + reiterações imediatas</w:t>
            </w:r>
          </w:p>
        </w:tc>
        <w:tc>
          <w:tcPr>
            <w:tcW w:type="dxa" w:w="2412"/>
          </w:tcPr>
          <w:p>
            <w:r>
              <w:t>R$ 10.503.164,01</w:t>
            </w:r>
          </w:p>
        </w:tc>
        <w:tc>
          <w:tcPr>
            <w:tcW w:type="dxa" w:w="2412"/>
          </w:tcPr>
          <w:p>
            <w:r>
              <w:t>Caderno A3 — fls. 186</w:t>
            </w:r>
          </w:p>
        </w:tc>
      </w:tr>
      <w:tr>
        <w:tc>
          <w:tcPr>
            <w:tcW w:type="dxa" w:w="2412"/>
          </w:tcPr>
          <w:p>
            <w:r>
              <w:t>R4</w:t>
            </w:r>
          </w:p>
        </w:tc>
        <w:tc>
          <w:tcPr>
            <w:tcW w:type="dxa" w:w="2412"/>
          </w:tcPr>
          <w:p>
            <w:r>
              <w:t>Certificação posterior (bloqueio total)</w:t>
            </w:r>
          </w:p>
        </w:tc>
        <w:tc>
          <w:tcPr>
            <w:tcW w:type="dxa" w:w="2412"/>
          </w:tcPr>
          <w:p>
            <w:r>
              <w:t>R$ 52.932.655,22</w:t>
            </w:r>
          </w:p>
        </w:tc>
        <w:tc>
          <w:tcPr>
            <w:tcW w:type="dxa" w:w="2412"/>
          </w:tcPr>
          <w:p>
            <w:r>
              <w:t>Caderno A3 — fls. 190</w:t>
            </w:r>
          </w:p>
        </w:tc>
      </w:tr>
      <w:tr>
        <w:tc>
          <w:tcPr>
            <w:tcW w:type="dxa" w:w="2412"/>
          </w:tcPr>
          <w:p>
            <w:r>
              <w:t>R5</w:t>
            </w:r>
          </w:p>
        </w:tc>
        <w:tc>
          <w:tcPr>
            <w:tcW w:type="dxa" w:w="2412"/>
          </w:tcPr>
          <w:p>
            <w:r>
              <w:t>FRAM CAPITAL DTVM (cotas após reiteração)</w:t>
            </w:r>
          </w:p>
        </w:tc>
        <w:tc>
          <w:tcPr>
            <w:tcW w:type="dxa" w:w="2412"/>
          </w:tcPr>
          <w:p>
            <w:r>
              <w:t>R$ 77.640.365,33</w:t>
            </w:r>
          </w:p>
        </w:tc>
        <w:tc>
          <w:tcPr>
            <w:tcW w:type="dxa" w:w="2412"/>
          </w:tcPr>
          <w:p>
            <w:r>
              <w:t>Caderno A3 — fls. 188 (Ag. 0001, Cta. 110486)</w:t>
            </w:r>
          </w:p>
        </w:tc>
      </w:tr>
      <w:tr>
        <w:tc>
          <w:tcPr>
            <w:tcW w:type="dxa" w:w="2412"/>
          </w:tcPr>
          <w:p>
            <w:r>
              <w:t>R6</w:t>
            </w:r>
          </w:p>
        </w:tc>
        <w:tc>
          <w:tcPr>
            <w:tcW w:type="dxa" w:w="2412"/>
          </w:tcPr>
          <w:p>
            <w:r>
              <w:t>BTG Pactual (posição PF, 16/05/2023)</w:t>
            </w:r>
          </w:p>
        </w:tc>
        <w:tc>
          <w:tcPr>
            <w:tcW w:type="dxa" w:w="2412"/>
          </w:tcPr>
          <w:p>
            <w:r>
              <w:t>R$ 3.051.946,65</w:t>
            </w:r>
          </w:p>
        </w:tc>
        <w:tc>
          <w:tcPr>
            <w:tcW w:type="dxa" w:w="2412"/>
          </w:tcPr>
          <w:p>
            <w:r>
              <w:t>Caderno A3 — fls. 188</w:t>
            </w:r>
          </w:p>
        </w:tc>
      </w:tr>
    </w:tbl>
    <w:p/>
    <w:p>
      <w:pPr>
        <w:pStyle w:val="Heading1"/>
      </w:pPr>
      <w:r>
        <w:rPr>
          <w:color w:val="1A1A1A"/>
        </w:rPr>
        <w:t>5. Achado novo decisivo — confissão fls. 572/575</w:t>
      </w:r>
    </w:p>
    <w:p>
      <w:pPr>
        <w:jc w:val="both"/>
      </w:pPr>
      <w:r>
        <w:rPr>
          <w:b w:val="0"/>
          <w:i/>
        </w:rPr>
        <w:t>fls. 572: o FIP "nada mais é do que o veículo por meio do qual Ari detém sua participação na Evino".</w:t>
      </w:r>
    </w:p>
    <w:p>
      <w:pPr>
        <w:jc w:val="both"/>
      </w:pPr>
      <w:r>
        <w:rPr>
          <w:b w:val="0"/>
          <w:i/>
        </w:rPr>
        <w:t>fls. 575: "não se opõe ao bloqueio de suas cotas mantidas junto à FRAM".</w:t>
      </w:r>
    </w:p>
    <w:p>
      <w:pPr>
        <w:jc w:val="both"/>
      </w:pPr>
      <w:r>
        <w:rPr>
          <w:b/>
          <w:i w:val="0"/>
        </w:rPr>
        <w:t>Consequência jurídica: a comunicabilidade pela origem (P1) e a sub-rogação real (P2) deixam de depender de produção de prova pela autora — estão fechadas por confissão (CC art. 212; CPC art. 374, II). O réu confessou o vínculo econômico do veículo e o cabimento da constrição.</w:t>
      </w:r>
    </w:p>
    <w:p>
      <w:pPr>
        <w:jc w:val="both"/>
      </w:pPr>
      <w:r>
        <w:rPr>
          <w:b w:val="0"/>
          <w:i w:val="0"/>
        </w:rPr>
        <w:t>Este é o achado de maior impacto desta sessão. Ele simplifica radicalmente a estratégia: deixa de ser necessário sustentar todo o money trail como prova de comunicabilidade; o money trail passa a sustentar magnitude (memorial) e ineficácia dos esvaziamentos (P3 — CPC 792 + CC 158/167).</w:t>
      </w:r>
    </w:p>
    <w:p>
      <w:pPr>
        <w:pStyle w:val="Heading1"/>
      </w:pPr>
      <w:r>
        <w:rPr>
          <w:color w:val="1A1A1A"/>
        </w:rPr>
        <w:t>6. Correções vinculantes ao Documento 13 anterior</w:t>
      </w:r>
    </w:p>
    <w:p>
      <w:pPr>
        <w:pStyle w:val="Heading2"/>
      </w:pPr>
      <w:r>
        <w:rPr>
          <w:color w:val="7A0C0C"/>
        </w:rPr>
        <w:t>6.1 Correção semântica — "Não se trata de liberar o bloqueio"</w:t>
      </w:r>
    </w:p>
    <w:p>
      <w:pPr>
        <w:jc w:val="both"/>
      </w:pPr>
      <w:r>
        <w:rPr>
          <w:b/>
          <w:i w:val="0"/>
        </w:rPr>
        <w:t>O Doc 13 anterior enunciou três planos (L2 liberação + L1 averbação + L1.b indisponibilidade Bonifácio). O War Room refina: o bloqueio das cotas L1 é a única garantia real da meação — quem quer liberá-lo é o réu. O objetivo não é liberar; é converter garantia em partilha efetiva (adjudicação, alienação judicial, apuração de haveres). Apenas a Camada L2 (saldos líquidos já capturados) cabe liberação executiva imediata, com imputação no acerto final. Sobre L1 (cotas em custódia), averbação preventiva permanente como garantia.</w:t>
      </w:r>
    </w:p>
    <w:p>
      <w:pPr>
        <w:pStyle w:val="Heading2"/>
      </w:pPr>
      <w:r>
        <w:rPr>
          <w:color w:val="7A0C0C"/>
        </w:rPr>
        <w:t>6.2 Correção de quantum L2</w:t>
      </w:r>
    </w:p>
    <w:p>
      <w:pPr>
        <w:jc w:val="both"/>
      </w:pPr>
      <w:r>
        <w:rPr>
          <w:b w:val="0"/>
          <w:i w:val="0"/>
        </w:rPr>
        <w:t>O Doc 13 registrou R$ 31,9 MM como saldo BTG retido. O número mais preciso: L2 puro (saldo bancário/depósito a prazo capturado) alcança o teto de R$ 10.503.164,01 (bloqueio efetivo + reiterações) e o piso certificado de R$ 52.932.655,22 (bloqueio total certificado nos autos). Distinção clara:</w:t>
      </w:r>
    </w:p>
    <w:p>
      <w:pPr>
        <w:jc w:val="both"/>
      </w:pPr>
      <w:r>
        <w:rPr>
          <w:b w:val="0"/>
          <w:i w:val="0"/>
        </w:rPr>
        <w:t>• L2 puro: R$ 10,5 MM (mai/2023) → reconfirmar valor atualizado e SELIC.</w:t>
      </w:r>
    </w:p>
    <w:p>
      <w:pPr>
        <w:jc w:val="both"/>
      </w:pPr>
      <w:r>
        <w:rPr>
          <w:b w:val="0"/>
          <w:i w:val="0"/>
        </w:rPr>
        <w:t>• L1 cotas FRAM (Ajaccio): R$ 77.640.365,33 — averbação permanente como garantia (não liberar).</w:t>
      </w:r>
    </w:p>
    <w:p>
      <w:pPr>
        <w:jc w:val="both"/>
      </w:pPr>
      <w:r>
        <w:rPr>
          <w:b w:val="0"/>
          <w:i w:val="0"/>
        </w:rPr>
        <w:t>• Bloqueio agregado certificado: R$ 52.932.655,22 — retrato executivo.</w:t>
      </w:r>
    </w:p>
    <w:p>
      <w:pPr>
        <w:pStyle w:val="Heading1"/>
      </w:pPr>
      <w:r>
        <w:rPr>
          <w:color w:val="1A1A1A"/>
        </w:rPr>
        <w:t>7. Adoção da régua L1–L3 / E1–E4</w:t>
      </w:r>
    </w:p>
    <w:p>
      <w:pPr>
        <w:jc w:val="both"/>
      </w:pPr>
      <w:r>
        <w:rPr>
          <w:b w:val="0"/>
          <w:i w:val="0"/>
        </w:rPr>
        <w:t>Verificação L1–L3: L1 = alegação interna; L2 = corroborado por 1 fonte independente (CVM/RFB/JUCESP); L3 = triangulação plena (interno + base pública + peça judicial). Apenas L3 sustenta pedidos gravosos.</w:t>
      </w:r>
    </w:p>
    <w:p>
      <w:pPr>
        <w:jc w:val="both"/>
      </w:pPr>
      <w:r>
        <w:rPr>
          <w:b w:val="0"/>
          <w:i w:val="0"/>
        </w:rPr>
        <w:t>Selo de evidência E1–E4: E1 = indício fraco; E2 = relevante (valor + timing); E3 = forte (valor + timing + rota opaca); E4 = smoking gun (sustenta tese sozinho).</w:t>
      </w:r>
    </w:p>
    <w:p>
      <w:pPr>
        <w:jc w:val="both"/>
      </w:pPr>
      <w:r>
        <w:rPr>
          <w:b w:val="0"/>
          <w:i w:val="0"/>
        </w:rPr>
        <w:t>Cinco eixos jurídicos adotáveis: (I) fraude à execução CPC 792 §1º; (II) fraude patrimonial/fundos-casca CC 158-159/167; (III) enriquecimento ilícito CC 884-886; (IV) violência patrimonial LMP 7º IV; (V) trabalho não remunerado/perda de chance CC 402/944.</w:t>
      </w:r>
    </w:p>
    <w:p>
      <w:pPr>
        <w:jc w:val="both"/>
      </w:pPr>
      <w:r>
        <w:rPr>
          <w:b w:val="0"/>
          <w:i/>
        </w:rPr>
        <w:t>Ressalva: as quinze fontes web do A4 não foram verificadas — checar antes de uso em peça subscrita.</w:t>
      </w:r>
    </w:p>
    <w:p>
      <w:pPr>
        <w:pStyle w:val="Heading1"/>
      </w:pPr>
      <w:r>
        <w:rPr>
          <w:color w:val="1A1A1A"/>
        </w:rPr>
        <w:t>8. Três organogramas — validação visual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Org.</w:t>
            </w:r>
          </w:p>
        </w:tc>
        <w:tc>
          <w:tcPr>
            <w:tcW w:type="dxa" w:w="3216"/>
          </w:tcPr>
          <w:p>
            <w:r>
              <w:rPr>
                <w:b/>
              </w:rPr>
              <w:t>Conteúdo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Achado próprio</w:t>
            </w:r>
          </w:p>
        </w:tc>
      </w:tr>
      <w:tr>
        <w:tc>
          <w:tcPr>
            <w:tcW w:type="dxa" w:w="3216"/>
          </w:tcPr>
          <w:p>
            <w:r>
              <w:t>I</w:t>
            </w:r>
          </w:p>
        </w:tc>
        <w:tc>
          <w:tcPr>
            <w:tcW w:type="dxa" w:w="3216"/>
          </w:tcPr>
          <w:p>
            <w:r>
              <w:t>Estrutura de Controle (JP2R Singapura → FRAM DTVM → FIP Ajaccio → Ari → E-Vino/Víssimo + SPE Abecker)</w:t>
            </w:r>
          </w:p>
        </w:tc>
        <w:tc>
          <w:tcPr>
            <w:tcW w:type="dxa" w:w="3216"/>
          </w:tcPr>
          <w:p>
            <w:r>
              <w:t>SPE Abecker juntada 3 dias antes da revisional — indício temporal E3</w:t>
            </w:r>
          </w:p>
        </w:tc>
      </w:tr>
      <w:tr>
        <w:tc>
          <w:tcPr>
            <w:tcW w:type="dxa" w:w="3216"/>
          </w:tcPr>
          <w:p>
            <w:r>
              <w:t>II</w:t>
            </w:r>
          </w:p>
        </w:tc>
        <w:tc>
          <w:tcPr>
            <w:tcW w:type="dxa" w:w="3216"/>
          </w:tcPr>
          <w:p>
            <w:r>
              <w:t>Teia Societária (FRAM/OSLO + Administrador + Auditoria → FIP Ajaccio; Ari × Millena × Mafalda)</w:t>
            </w:r>
          </w:p>
        </w:tc>
        <w:tc>
          <w:tcPr>
            <w:tcW w:type="dxa" w:w="3216"/>
          </w:tcPr>
          <w:p>
            <w:r>
              <w:t>Tríplice posição processual da Requerente (ofendida/repr./genitora) — vetor Res. CNJ 492/2023</w:t>
            </w:r>
          </w:p>
        </w:tc>
      </w:tr>
      <w:tr>
        <w:tc>
          <w:tcPr>
            <w:tcW w:type="dxa" w:w="3216"/>
          </w:tcPr>
          <w:p>
            <w:r>
              <w:t>III</w:t>
            </w:r>
          </w:p>
        </w:tc>
        <w:tc>
          <w:tcPr>
            <w:tcW w:type="dxa" w:w="3216"/>
          </w:tcPr>
          <w:p>
            <w:r>
              <w:t>Fluxos Financeiros AML — 5 rotas (TED Ajaccio→Ari; non-compete E-Vino→Apoio Adm.→BTG; FRAM↔JP2R; SPE Abecker; retorno circular)</w:t>
            </w:r>
          </w:p>
        </w:tc>
        <w:tc>
          <w:tcPr>
            <w:tcW w:type="dxa" w:w="3216"/>
          </w:tcPr>
          <w:p>
            <w:r>
              <w:t>R4 imobilização patrimonial via SPE Abecker 3 dias antes da revisional</w:t>
            </w:r>
          </w:p>
        </w:tc>
      </w:tr>
    </w:tbl>
    <w:p/>
    <w:p>
      <w:pPr>
        <w:pStyle w:val="Heading1"/>
      </w:pPr>
      <w:r>
        <w:rPr>
          <w:color w:val="1A1A1A"/>
        </w:rPr>
        <w:t>9. Estratégia integrada — janela tática da decisão saneadora</w:t>
      </w:r>
    </w:p>
    <w:p>
      <w:pPr>
        <w:pStyle w:val="Heading2"/>
      </w:pPr>
      <w:r>
        <w:rPr>
          <w:color w:val="7A0C0C"/>
        </w:rPr>
        <w:t>Fase 0 (dias) — quatro movimentos coordenados</w:t>
      </w:r>
    </w:p>
    <w:p>
      <w:pPr>
        <w:jc w:val="both"/>
      </w:pPr>
      <w:r>
        <w:rPr>
          <w:b w:val="0"/>
          <w:i w:val="0"/>
        </w:rPr>
        <w:t>M1. Peça única de Fase 0 (subscrita por OAB): resposta ao incidente de IA com retirada espontânea + substituição por prova subscrita; adesão ao saneamento com rol próprio; oposição proporcional à quebra de sigilo; resposta documentada ao tema alimentar.</w:t>
      </w:r>
    </w:p>
    <w:p>
      <w:pPr>
        <w:jc w:val="both"/>
      </w:pPr>
      <w:r>
        <w:rPr>
          <w:b w:val="0"/>
          <w:i w:val="0"/>
        </w:rPr>
        <w:t>M2. Contratação de perito CRC/CORECON para laudo subscrito.</w:t>
      </w:r>
    </w:p>
    <w:p>
      <w:pPr>
        <w:jc w:val="both"/>
      </w:pPr>
      <w:r>
        <w:rPr>
          <w:b w:val="0"/>
          <w:i w:val="0"/>
        </w:rPr>
        <w:t>M3. Certidões urgentes: JUCESP (RT 127 + distrato 361.506/23-5); ficha E-Vino + laudo art. 226 LSA; certidão CVM do Ajaccio e do Bonifácio.</w:t>
      </w:r>
    </w:p>
    <w:p>
      <w:pPr>
        <w:jc w:val="both"/>
      </w:pPr>
      <w:r>
        <w:rPr>
          <w:b w:val="0"/>
          <w:i w:val="0"/>
        </w:rPr>
        <w:t>M4. Requerimento de liberação executiva da Camada L2 com imputação no acerto final — sem confundir com averbação permanente das cotas L1.</w:t>
      </w:r>
    </w:p>
    <w:p>
      <w:pPr>
        <w:pStyle w:val="Heading2"/>
      </w:pPr>
      <w:r>
        <w:rPr>
          <w:color w:val="7A0C0C"/>
        </w:rPr>
        <w:t>Fases 1 a 3</w:t>
      </w:r>
    </w:p>
    <w:p>
      <w:pPr>
        <w:jc w:val="both"/>
      </w:pPr>
      <w:r>
        <w:rPr>
          <w:b w:val="0"/>
          <w:i w:val="0"/>
        </w:rPr>
        <w:t>Fase 1 (semanas): exibição CPC 400 + astreintes; distribuição dinâmica do ônus; quesitos periciais de reconciliação; ofício permanente FRAM/CVM.</w:t>
      </w:r>
    </w:p>
    <w:p>
      <w:pPr>
        <w:jc w:val="both"/>
      </w:pPr>
      <w:r>
        <w:rPr>
          <w:b w:val="0"/>
          <w:i w:val="0"/>
        </w:rPr>
        <w:t>Fase 2 (meses): julgamento parcial CPC 356, I + tutela de evidência CPC 311, II; incidente de ineficácia do distrato RT 127.</w:t>
      </w:r>
    </w:p>
    <w:p>
      <w:pPr>
        <w:jc w:val="both"/>
      </w:pPr>
      <w:r>
        <w:rPr>
          <w:b w:val="0"/>
          <w:i w:val="0"/>
        </w:rPr>
        <w:t>Fase 3 (evento-dependente): monitoramento de exit/venda; reserva judicial do produto; adjudicação/alienação/haveres.</w:t>
      </w:r>
    </w:p>
    <w:p>
      <w:pPr>
        <w:pStyle w:val="Heading1"/>
      </w:pPr>
      <w:r>
        <w:rPr>
          <w:color w:val="1A1A1A"/>
        </w:rPr>
        <w:t>10. Lista vinculante — limites e vedações</w:t>
      </w:r>
    </w:p>
    <w:p>
      <w:pPr>
        <w:jc w:val="both"/>
      </w:pPr>
      <w:r>
        <w:rPr>
          <w:b w:val="0"/>
          <w:i w:val="0"/>
        </w:rPr>
        <w:t>• Não protocolar material gerado por IA sem subscrição/revisão humana (OAB/CRC/CORECON).</w:t>
      </w:r>
    </w:p>
    <w:p>
      <w:pPr>
        <w:jc w:val="both"/>
      </w:pPr>
      <w:r>
        <w:rPr>
          <w:b w:val="0"/>
          <w:i w:val="0"/>
        </w:rPr>
        <w:t>• Não ancorar pedido de meação no PL bilionário do Ajaccio (mark-to-model indefensável).</w:t>
      </w:r>
    </w:p>
    <w:p>
      <w:pPr>
        <w:jc w:val="both"/>
      </w:pPr>
      <w:r>
        <w:rPr>
          <w:b w:val="0"/>
          <w:i w:val="0"/>
        </w:rPr>
        <w:t>• Não acusar fraude penal/AML em peça cível sem lastro direto (sede própria: notícia-crime instruída).</w:t>
      </w:r>
    </w:p>
    <w:p>
      <w:pPr>
        <w:jc w:val="both"/>
      </w:pPr>
      <w:r>
        <w:rPr>
          <w:b w:val="0"/>
          <w:i w:val="0"/>
        </w:rPr>
        <w:t>• Não resistir genericamente à instrução — a autora é quem mais ganha com ela.</w:t>
      </w:r>
    </w:p>
    <w:p>
      <w:pPr>
        <w:jc w:val="both"/>
      </w:pPr>
      <w:r>
        <w:rPr>
          <w:b w:val="0"/>
          <w:i w:val="0"/>
        </w:rPr>
        <w:t>• Não postular sobreposição de competências — importar standard hermenêutico, não executoriedade.</w:t>
      </w:r>
    </w:p>
    <w:p>
      <w:pPr>
        <w:jc w:val="both"/>
      </w:pPr>
      <w:r>
        <w:rPr>
          <w:b w:val="0"/>
          <w:i w:val="0"/>
        </w:rPr>
        <w:t>• Não confundir L1 com L2: cotas L1 averbar como garantia; saldos L2 liberar executivamente.</w:t>
      </w:r>
    </w:p>
    <w:p>
      <w:pPr>
        <w:pStyle w:val="Heading1"/>
      </w:pPr>
      <w:r>
        <w:rPr>
          <w:color w:val="1A1A1A"/>
        </w:rPr>
        <w:t>11. Roteiro de ação do relator</w:t>
      </w:r>
    </w:p>
    <w:p>
      <w:pPr>
        <w:jc w:val="both"/>
      </w:pPr>
      <w:r>
        <w:rPr>
          <w:b w:val="0"/>
          <w:i w:val="0"/>
        </w:rPr>
        <w:t>1. Atualizar Documento 13 incorporando (a) confissão fls. 572/575 como peça-âncora; (b) números refinados R1–R6; (c) correção semântica "não liberar"; (d) distinção L1 averbação × L2 liberação.</w:t>
      </w:r>
    </w:p>
    <w:p>
      <w:pPr>
        <w:jc w:val="both"/>
      </w:pPr>
      <w:r>
        <w:rPr>
          <w:b w:val="0"/>
          <w:i w:val="0"/>
        </w:rPr>
        <w:t>2. Protocolo da Peça Única Fase 0 — subscrita por OAB, com perito CRC/CORECON identificado.</w:t>
      </w:r>
    </w:p>
    <w:p>
      <w:pPr>
        <w:jc w:val="both"/>
      </w:pPr>
      <w:r>
        <w:rPr>
          <w:b w:val="0"/>
          <w:i w:val="0"/>
        </w:rPr>
        <w:t>3. Certidões urgentes: JUCESP RT 127 + distrato; CVM Ajaccio e Bonifácio; E-Vino ficha + laudo art. 226 LSA.</w:t>
      </w:r>
    </w:p>
    <w:p>
      <w:pPr>
        <w:jc w:val="both"/>
      </w:pPr>
      <w:r>
        <w:rPr>
          <w:b w:val="0"/>
          <w:i w:val="0"/>
        </w:rPr>
        <w:t>4. Diário de provas com hash — governança cumulativa.</w:t>
      </w:r>
    </w:p>
    <w:p>
      <w:pPr>
        <w:jc w:val="both"/>
      </w:pPr>
      <w:r>
        <w:rPr>
          <w:b w:val="0"/>
          <w:i w:val="0"/>
        </w:rPr>
        <w:t>5. Acompanhamento da decisão saneadora — janela tática real.</w:t>
      </w:r>
    </w:p>
    <w:p>
      <w:pPr>
        <w:jc w:val="both"/>
      </w:pPr>
      <w:r>
        <w:rPr>
          <w:b w:val="0"/>
          <w:i w:val="0"/>
        </w:rPr>
        <w:t>6. Notícia-crime autônoma instruída em sede própria — não em peça cível.</w:t>
      </w:r>
    </w:p>
    <w:p>
      <w:pPr>
        <w:pStyle w:val="Heading1"/>
      </w:pPr>
      <w:r>
        <w:rPr>
          <w:color w:val="1A1A1A"/>
        </w:rPr>
        <w:t>12. Conclusão — voto integrado</w:t>
      </w:r>
    </w:p>
    <w:p>
      <w:pPr>
        <w:jc w:val="both"/>
      </w:pPr>
      <w:r>
        <w:rPr>
          <w:b/>
          <w:i w:val="0"/>
        </w:rPr>
        <w:t>Acervo War Room v1.0 VALIDADO em todos os eixos. A confissão de fls. 572/575 fecha a comunicabilidade por via confessória — fato decisivo que simplifica a estratégia. O dossiê passa do registro "tese a sustentar" para o registro "rota a executar". A janela tática real é a decisão saneadora iminente.</w:t>
      </w:r>
    </w:p>
    <w:p>
      <w:pPr>
        <w:jc w:val="both"/>
      </w:pPr>
      <w:r>
        <w:rPr>
          <w:b/>
          <w:i w:val="0"/>
        </w:rPr>
        <w:t>Voto pela EXECUÇÃO IMEDIATA da Fase 0, com a Peça Única subscrita por OAB nos próximos dias, perito CRC/CORECON contratado, e certidões urgentes em paralelo.</w:t>
      </w:r>
    </w:p>
    <w:p>
      <w:pPr>
        <w:pStyle w:val="Heading1"/>
      </w:pPr>
      <w:r>
        <w:rPr>
          <w:color w:val="1A1A1A"/>
        </w:rPr>
        <w:t>Anexo A — Cinco proposições da tese sanatória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P</w:t>
            </w:r>
          </w:p>
        </w:tc>
        <w:tc>
          <w:tcPr>
            <w:tcW w:type="dxa" w:w="3216"/>
          </w:tcPr>
          <w:p>
            <w:r>
              <w:rPr>
                <w:b/>
              </w:rPr>
              <w:t>Proposição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Fundamento</w:t>
            </w:r>
          </w:p>
        </w:tc>
      </w:tr>
      <w:tr>
        <w:tc>
          <w:tcPr>
            <w:tcW w:type="dxa" w:w="3216"/>
          </w:tcPr>
          <w:p>
            <w:r>
              <w:t>P1</w:t>
            </w:r>
          </w:p>
        </w:tc>
        <w:tc>
          <w:tcPr>
            <w:tcW w:type="dxa" w:w="3216"/>
          </w:tcPr>
          <w:p>
            <w:r>
              <w:t>Comunicabilidade pela origem + confissão fls. 572/575</w:t>
            </w:r>
          </w:p>
        </w:tc>
        <w:tc>
          <w:tcPr>
            <w:tcW w:type="dxa" w:w="3216"/>
          </w:tcPr>
          <w:p>
            <w:r>
              <w:t>CC 1.660; CC 212; CPC 374, II</w:t>
            </w:r>
          </w:p>
        </w:tc>
      </w:tr>
      <w:tr>
        <w:tc>
          <w:tcPr>
            <w:tcW w:type="dxa" w:w="3216"/>
          </w:tcPr>
          <w:p>
            <w:r>
              <w:t>P2</w:t>
            </w:r>
          </w:p>
        </w:tc>
        <w:tc>
          <w:tcPr>
            <w:tcW w:type="dxa" w:w="3216"/>
          </w:tcPr>
          <w:p>
            <w:r>
              <w:t>Sub-rogação real / indiferença do veículo</w:t>
            </w:r>
          </w:p>
        </w:tc>
        <w:tc>
          <w:tcPr>
            <w:tcW w:type="dxa" w:w="3216"/>
          </w:tcPr>
          <w:p>
            <w:r>
              <w:t>Construção STJ; teorema L1/L2</w:t>
            </w:r>
          </w:p>
        </w:tc>
      </w:tr>
      <w:tr>
        <w:tc>
          <w:tcPr>
            <w:tcW w:type="dxa" w:w="3216"/>
          </w:tcPr>
          <w:p>
            <w:r>
              <w:t>P3</w:t>
            </w:r>
          </w:p>
        </w:tc>
        <w:tc>
          <w:tcPr>
            <w:tcW w:type="dxa" w:w="3216"/>
          </w:tcPr>
          <w:p>
            <w:r>
              <w:t>Ineficácia dos atos de esvaziamento</w:t>
            </w:r>
          </w:p>
        </w:tc>
        <w:tc>
          <w:tcPr>
            <w:tcW w:type="dxa" w:w="3216"/>
          </w:tcPr>
          <w:p>
            <w:r>
              <w:t>CPC 792 V §1º; CC 158-159, 167; subsidiária CC 186+927</w:t>
            </w:r>
          </w:p>
        </w:tc>
      </w:tr>
      <w:tr>
        <w:tc>
          <w:tcPr>
            <w:tcW w:type="dxa" w:w="3216"/>
          </w:tcPr>
          <w:p>
            <w:r>
              <w:t>P4</w:t>
            </w:r>
          </w:p>
        </w:tc>
        <w:tc>
          <w:tcPr>
            <w:tcW w:type="dxa" w:w="3216"/>
          </w:tcPr>
          <w:p>
            <w:r>
              <w:t>Dever de informação e exibição — 1.095+ dias</w:t>
            </w:r>
          </w:p>
        </w:tc>
        <w:tc>
          <w:tcPr>
            <w:tcW w:type="dxa" w:w="3216"/>
          </w:tcPr>
          <w:p>
            <w:r>
              <w:t>CPC 396-404; CPC 400; Res. CNJ 492/2023</w:t>
            </w:r>
          </w:p>
        </w:tc>
      </w:tr>
      <w:tr>
        <w:tc>
          <w:tcPr>
            <w:tcW w:type="dxa" w:w="3216"/>
          </w:tcPr>
          <w:p>
            <w:r>
              <w:t>P5</w:t>
            </w:r>
          </w:p>
        </w:tc>
        <w:tc>
          <w:tcPr>
            <w:tcW w:type="dxa" w:w="3216"/>
          </w:tcPr>
          <w:p>
            <w:r>
              <w:t>Efetivação faseada</w:t>
            </w:r>
          </w:p>
        </w:tc>
        <w:tc>
          <w:tcPr>
            <w:tcW w:type="dxa" w:w="3216"/>
          </w:tcPr>
          <w:p>
            <w:r>
              <w:t>CPC 356, I + CPC 311, II + CPC 297/537</w:t>
            </w:r>
          </w:p>
        </w:tc>
      </w:tr>
    </w:tbl>
    <w:p/>
    <w:p>
      <w:pPr>
        <w:pStyle w:val="Heading1"/>
      </w:pPr>
      <w:r>
        <w:rPr>
          <w:color w:val="1A1A1A"/>
        </w:rPr>
        <w:t>Anexo B — Quantum L1 documentado (calibragem final)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412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412"/>
          </w:tcPr>
          <w:p>
            <w:r>
              <w:rPr>
                <w:b/>
              </w:rPr>
              <w:t>Fonte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2412"/>
          </w:tcPr>
          <w:p>
            <w:r>
              <w:t>SISBAJUD posição consolidada (16/05/2023)</w:t>
            </w:r>
          </w:p>
        </w:tc>
        <w:tc>
          <w:tcPr>
            <w:tcW w:type="dxa" w:w="2412"/>
          </w:tcPr>
          <w:p>
            <w:r>
              <w:t>R$ 84.856.714,65</w:t>
            </w:r>
          </w:p>
        </w:tc>
        <w:tc>
          <w:tcPr>
            <w:tcW w:type="dxa" w:w="2412"/>
          </w:tcPr>
          <w:p>
            <w:r>
              <w:t>fls. 188</w:t>
            </w:r>
          </w:p>
        </w:tc>
        <w:tc>
          <w:tcPr>
            <w:tcW w:type="dxa" w:w="2412"/>
          </w:tcPr>
          <w:p>
            <w:r>
              <w:t>Fotografia-base</w:t>
            </w:r>
          </w:p>
        </w:tc>
      </w:tr>
      <w:tr>
        <w:tc>
          <w:tcPr>
            <w:tcW w:type="dxa" w:w="2412"/>
          </w:tcPr>
          <w:p>
            <w:r>
              <w:t>FRAM CAPITAL DTVM (cotas Ajaccio)</w:t>
            </w:r>
          </w:p>
        </w:tc>
        <w:tc>
          <w:tcPr>
            <w:tcW w:type="dxa" w:w="2412"/>
          </w:tcPr>
          <w:p>
            <w:r>
              <w:t>R$ 77.640.365,33</w:t>
            </w:r>
          </w:p>
        </w:tc>
        <w:tc>
          <w:tcPr>
            <w:tcW w:type="dxa" w:w="2412"/>
          </w:tcPr>
          <w:p>
            <w:r>
              <w:t>fls. 188 (Ag. 0001, Cta. 110486)</w:t>
            </w:r>
          </w:p>
        </w:tc>
        <w:tc>
          <w:tcPr>
            <w:tcW w:type="dxa" w:w="2412"/>
          </w:tcPr>
          <w:p>
            <w:r>
              <w:t>L1 — averbação permanente</w:t>
            </w:r>
          </w:p>
        </w:tc>
      </w:tr>
      <w:tr>
        <w:tc>
          <w:tcPr>
            <w:tcW w:type="dxa" w:w="2412"/>
          </w:tcPr>
          <w:p>
            <w:r>
              <w:t>BTG Pactual PF (16/05/2023)</w:t>
            </w:r>
          </w:p>
        </w:tc>
        <w:tc>
          <w:tcPr>
            <w:tcW w:type="dxa" w:w="2412"/>
          </w:tcPr>
          <w:p>
            <w:r>
              <w:t>R$ 3.051.946,65</w:t>
            </w:r>
          </w:p>
        </w:tc>
        <w:tc>
          <w:tcPr>
            <w:tcW w:type="dxa" w:w="2412"/>
          </w:tcPr>
          <w:p>
            <w:r>
              <w:t>fls. 188</w:t>
            </w:r>
          </w:p>
        </w:tc>
        <w:tc>
          <w:tcPr>
            <w:tcW w:type="dxa" w:w="2412"/>
          </w:tcPr>
          <w:p>
            <w:r>
              <w:t>L2 — liberar executivamente</w:t>
            </w:r>
          </w:p>
        </w:tc>
      </w:tr>
      <w:tr>
        <w:tc>
          <w:tcPr>
            <w:tcW w:type="dxa" w:w="2412"/>
          </w:tcPr>
          <w:p>
            <w:r>
              <w:t>Ordem de bloqueio (23/05/2023)</w:t>
            </w:r>
          </w:p>
        </w:tc>
        <w:tc>
          <w:tcPr>
            <w:tcW w:type="dxa" w:w="2412"/>
          </w:tcPr>
          <w:p>
            <w:r>
              <w:t>R$ 42.428.357,32</w:t>
            </w:r>
          </w:p>
        </w:tc>
        <w:tc>
          <w:tcPr>
            <w:tcW w:type="dxa" w:w="2412"/>
          </w:tcPr>
          <w:p>
            <w:r>
              <w:t>fls. 186</w:t>
            </w:r>
          </w:p>
        </w:tc>
        <w:tc>
          <w:tcPr>
            <w:tcW w:type="dxa" w:w="2412"/>
          </w:tcPr>
          <w:p>
            <w:r>
              <w:t>50% do localizado mai/2023</w:t>
            </w:r>
          </w:p>
        </w:tc>
      </w:tr>
      <w:tr>
        <w:tc>
          <w:tcPr>
            <w:tcW w:type="dxa" w:w="2412"/>
          </w:tcPr>
          <w:p>
            <w:r>
              <w:t>Bloqueio efetivo + reiterações</w:t>
            </w:r>
          </w:p>
        </w:tc>
        <w:tc>
          <w:tcPr>
            <w:tcW w:type="dxa" w:w="2412"/>
          </w:tcPr>
          <w:p>
            <w:r>
              <w:t>R$ 10.503.164,01</w:t>
            </w:r>
          </w:p>
        </w:tc>
        <w:tc>
          <w:tcPr>
            <w:tcW w:type="dxa" w:w="2412"/>
          </w:tcPr>
          <w:p>
            <w:r>
              <w:t>fls. 186</w:t>
            </w:r>
          </w:p>
        </w:tc>
        <w:tc>
          <w:tcPr>
            <w:tcW w:type="dxa" w:w="2412"/>
          </w:tcPr>
          <w:p>
            <w:r>
              <w:t>L2 imediato</w:t>
            </w:r>
          </w:p>
        </w:tc>
      </w:tr>
      <w:tr>
        <w:tc>
          <w:tcPr>
            <w:tcW w:type="dxa" w:w="2412"/>
          </w:tcPr>
          <w:p>
            <w:r>
              <w:t>Certificação posterior nos autos</w:t>
            </w:r>
          </w:p>
        </w:tc>
        <w:tc>
          <w:tcPr>
            <w:tcW w:type="dxa" w:w="2412"/>
          </w:tcPr>
          <w:p>
            <w:r>
              <w:t>R$ 52.932.655,22</w:t>
            </w:r>
          </w:p>
        </w:tc>
        <w:tc>
          <w:tcPr>
            <w:tcW w:type="dxa" w:w="2412"/>
          </w:tcPr>
          <w:p>
            <w:r>
              <w:t>fls. 190</w:t>
            </w:r>
          </w:p>
        </w:tc>
        <w:tc>
          <w:tcPr>
            <w:tcW w:type="dxa" w:w="2412"/>
          </w:tcPr>
          <w:p>
            <w:r>
              <w:t>Retrato executivo certificado</w:t>
            </w:r>
          </w:p>
        </w:tc>
      </w:tr>
      <w:tr>
        <w:tc>
          <w:tcPr>
            <w:tcW w:type="dxa" w:w="2412"/>
          </w:tcPr>
          <w:p>
            <w:r>
              <w:t>SISBAJUD 31/03/2026 BTG cód. 12</w:t>
            </w:r>
          </w:p>
        </w:tc>
        <w:tc>
          <w:tcPr>
            <w:tcW w:type="dxa" w:w="2412"/>
          </w:tcPr>
          <w:p>
            <w:r>
              <w:t>R$ 27.799,79</w:t>
            </w:r>
          </w:p>
        </w:tc>
        <w:tc>
          <w:tcPr>
            <w:tcW w:type="dxa" w:w="2412"/>
          </w:tcPr>
          <w:p>
            <w:r>
              <w:t>fls. 123 conexo</w:t>
            </w:r>
          </w:p>
        </w:tc>
        <w:tc>
          <w:tcPr>
            <w:tcW w:type="dxa" w:w="2412"/>
          </w:tcPr>
          <w:p>
            <w:r>
              <w:t>L2 — confirmação empírica</w:t>
            </w:r>
          </w:p>
        </w:tc>
      </w:tr>
      <w:tr>
        <w:tc>
          <w:tcPr>
            <w:tcW w:type="dxa" w:w="2412"/>
          </w:tcPr>
          <w:p>
            <w:r>
              <w:t>Fração RT 127 (Ari, do distrato)</w:t>
            </w:r>
          </w:p>
        </w:tc>
        <w:tc>
          <w:tcPr>
            <w:tcW w:type="dxa" w:w="2412"/>
          </w:tcPr>
          <w:p>
            <w:r>
              <w:t>R$ 4.296.100,43 + frutos</w:t>
            </w:r>
          </w:p>
        </w:tc>
        <w:tc>
          <w:tcPr>
            <w:tcW w:type="dxa" w:w="2412"/>
          </w:tcPr>
          <w:p>
            <w:r>
              <w:t>JUCESP doc. 361.506/23-5</w:t>
            </w:r>
          </w:p>
        </w:tc>
        <w:tc>
          <w:tcPr>
            <w:tcW w:type="dxa" w:w="2412"/>
          </w:tcPr>
          <w:p>
            <w:r>
              <w:t>P3 — ineficácia + reingresso</w:t>
            </w:r>
          </w:p>
        </w:tc>
      </w:tr>
      <w:tr>
        <w:tc>
          <w:tcPr>
            <w:tcW w:type="dxa" w:w="2412"/>
          </w:tcPr>
          <w:p>
            <w:r>
              <w:t>LOI ago/2025 (confissão de patrimônio)</w:t>
            </w:r>
          </w:p>
        </w:tc>
        <w:tc>
          <w:tcPr>
            <w:tcW w:type="dxa" w:w="2412"/>
          </w:tcPr>
          <w:p>
            <w:r>
              <w:t>&gt; R$ 108.000.000,00</w:t>
            </w:r>
          </w:p>
        </w:tc>
        <w:tc>
          <w:tcPr>
            <w:tcW w:type="dxa" w:w="2412"/>
          </w:tcPr>
          <w:p>
            <w:r>
              <w:t>autos</w:t>
            </w:r>
          </w:p>
        </w:tc>
        <w:tc>
          <w:tcPr>
            <w:tcW w:type="dxa" w:w="2412"/>
          </w:tcPr>
          <w:p>
            <w:r>
              <w:t>contradiz iliquidez/insolvência</w:t>
            </w:r>
          </w:p>
        </w:tc>
      </w:tr>
    </w:tbl>
    <w:p/>
    <w:p>
      <w:pPr>
        <w:pStyle w:val="Heading1"/>
      </w:pPr>
      <w:r>
        <w:rPr>
          <w:color w:val="1A1A1A"/>
        </w:rPr>
        <w:t>Anexo C — A âncora confessória (literal)</w:t>
      </w:r>
    </w:p>
    <w:p>
      <w:pPr>
        <w:jc w:val="both"/>
      </w:pPr>
      <w:r>
        <w:rPr>
          <w:b w:val="0"/>
          <w:i/>
        </w:rPr>
        <w:t>fls. 572: "[o FIP] nada mais é do que o veículo por meio do qual Ari detém sua participação na Evino"</w:t>
      </w:r>
    </w:p>
    <w:p>
      <w:pPr>
        <w:jc w:val="both"/>
      </w:pPr>
      <w:r>
        <w:rPr>
          <w:b w:val="0"/>
          <w:i/>
        </w:rPr>
        <w:t>fls. 575: "não se opõe ao bloqueio de suas cotas mantidas junto à FRAM"</w:t>
      </w:r>
    </w:p>
    <w:p>
      <w:pPr>
        <w:jc w:val="both"/>
      </w:pPr>
      <w:r>
        <w:rPr>
          <w:b w:val="0"/>
          <w:i w:val="0"/>
        </w:rPr>
        <w:t>Fundamento: CC art. 212 (confissão como meio de prova) e CPC art. 374, II (independem de prova os fatos confessados). A confissão fecha simultaneamente a comunicabilidade pela origem (P1) e a sub-rogação real (P2), e neutraliza preventivamente qualquer alegação adversa de iliquidez como impedimento à constrição.</w:t>
      </w:r>
    </w:p>
    <w:p>
      <w:pPr>
        <w:jc w:val="center"/>
      </w:pPr>
      <w:r>
        <w:rPr>
          <w:i/>
          <w:sz w:val="17"/>
        </w:rPr>
        <w:t>Série DOSSIÊS E NOTAS TÉCNICAS — documento 14 · 12/06/2026 · INSTRUMENTO INTERNO · CONFIDENCIAL — uso restrito da equipe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