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PARECER-TESE v2 · REPOSICIONAMENTO SEMÂNTICO-EPISTEMOLÓGICO</w:t>
      </w:r>
    </w:p>
    <w:p>
      <w:pPr>
        <w:jc w:val="center"/>
      </w:pPr>
      <w:r>
        <w:rPr>
          <w:i/>
          <w:sz w:val="19"/>
        </w:rPr>
        <w:t>Sanatórios incorporados · verificação literal dos autos · v2 sucede o Documento 16 (v1.0)</w:t>
        <w:br/>
        <w:t>Autos 1006744-58.2023.8.26.0011 · 1ª VF Pinheiros/SP · Emissão 14/06/2026 · Versão 2.0</w:t>
        <w:br/>
        <w:t>CPC art. 472 · CF art. 5º LVII · CONFIDENCIAL — uso restrito da equipe</w:t>
      </w:r>
    </w:p>
    <w:p>
      <w:pPr>
        <w:pStyle w:val="Heading1"/>
      </w:pPr>
      <w:r>
        <w:rPr>
          <w:color w:val="1A1A1A"/>
        </w:rPr>
        <w:t>I. Endosso da v1 e três sanatórios incorporados</w:t>
      </w:r>
    </w:p>
    <w:p>
      <w:pPr>
        <w:jc w:val="both"/>
      </w:pPr>
      <w:r>
        <w:rPr>
          <w:b/>
          <w:i w:val="0"/>
        </w:rPr>
        <w:t>A versão 1 da tese (Doc. 16) foi integralmente endossada por parecer interno como "robusta, tecnicamente precisa e a estratégia mais sofisticada e eficaz para o caso", e desafiada por três sanatórios pontuais. Esta v2 (i) incorpora os sanatórios, (ii) verifica literalmente as peças que os ancoram, e (iii) adiciona dois reforços extraídos dessa verificação. A estrutura analítica permanece; o que muda é a precisão das afirmações sensíveis e a forma processual dos pedidos.</w:t>
      </w:r>
    </w:p>
    <w:p>
      <w:pPr>
        <w:pStyle w:val="Heading1"/>
      </w:pPr>
      <w:r>
        <w:rPr>
          <w:color w:val="1A1A1A"/>
        </w:rPr>
        <w:t>II. Sanatório 1 — Não ancorar em códigos numéricos</w:t>
      </w:r>
    </w:p>
    <w:p>
      <w:pPr>
        <w:jc w:val="both"/>
      </w:pPr>
      <w:r>
        <w:rPr>
          <w:b w:val="0"/>
          <w:i w:val="0"/>
        </w:rPr>
        <w:t>A v1 mencionou que "o código 32 do SISBAJUD não é categoria de impenhorabilidade". A afirmação é correta no plano sistêmico, mas ancorar em códigos numéricos cuja definição varia entre versões do manual é arriscado. O sanatório desloca a âncora: o que importa não é o código devolvido — é o FATO PROCESSUAL de que NÃO HÁ, nos autos, qualquer devolução por impenhorabilidade nem decisão judicial reconhecendo-a.</w:t>
      </w:r>
    </w:p>
    <w:p>
      <w:pPr>
        <w:pStyle w:val="Heading2"/>
      </w:pPr>
      <w:r>
        <w:rPr>
          <w:color w:val="7A0C0C"/>
        </w:rPr>
        <w:t>Redação sanada — incorporada à tese</w:t>
      </w:r>
    </w:p>
    <w:p>
      <w:pPr>
        <w:jc w:val="both"/>
      </w:pPr>
      <w:r>
        <w:rPr>
          <w:b w:val="0"/>
          <w:i/>
        </w:rPr>
        <w:t>"Independentemente da codificação numérica retornada pelo sistema, o fato processual inafastável é um só: NÃO HÁ, NOS AUTOS, qualquer devolução de ordem por impenhorabilidade, tampouco decisão judicial que tenha acolhido tal exceção. O que existe, conforme o recibo de fls. 491/492, é o cumprimento da ordem de bloqueio com a efetivação de constrição sobre ativo classificado pela custodiante como de 'baixa liquidez' (fls. 493). A impenhorabilidade, nos termos do art. 833 e do art. 854, §3º, do CPC, exige arguição específica da parte e reconhecimento judicial expresso — o que jamais ocorreu. A tentativa de equiparar 'baixa liquidez' a 'impenhorabilidade' é, portanto, confusão semântica deliberada e sem amparo legal."</w:t>
      </w:r>
    </w:p>
    <w:p>
      <w:pPr>
        <w:pStyle w:val="Heading2"/>
      </w:pPr>
      <w:r>
        <w:rPr>
          <w:color w:val="7A0C0C"/>
        </w:rPr>
        <w:t>Verificação literal — peça da Requerente fls. 545-547 (05/06/2023)</w:t>
      </w:r>
    </w:p>
    <w:p>
      <w:pPr>
        <w:jc w:val="both"/>
      </w:pPr>
      <w:r>
        <w:rPr>
          <w:b w:val="0"/>
          <w:i w:val="0"/>
        </w:rPr>
        <w:t>Subscrita por Giselle Cantagallo (OAB/SP 237.089) e Priscilla Limena (OAB/SP 154.282), protocolo WPIN23701123900. Item 10:</w:t>
      </w:r>
    </w:p>
    <w:p>
      <w:pPr>
        <w:jc w:val="both"/>
      </w:pPr>
      <w:r>
        <w:rPr>
          <w:b w:val="0"/>
          <w:i/>
        </w:rPr>
        <w:t>"Além disso, a primeira resposta do banco às fls. 493, no sentido de se tratar de 'ativo de baixa liquidez', parece bastante contraditória em relação à informação prestada às fls. 539, de que o requerido possui os investimentos distribuídos em carteira que inclui renda fixa, fundos imobiliários e conta-corrente, facilmente resgatáveis."</w:t>
      </w:r>
    </w:p>
    <w:p>
      <w:pPr>
        <w:jc w:val="both"/>
      </w:pPr>
      <w:r>
        <w:rPr>
          <w:b/>
          <w:i w:val="0"/>
        </w:rPr>
        <w:t>Reforço bônus decisivo: a contradição entre o discurso da FRAM ("baixa liquidez") e a carteira efetivamente declarada por outras vias ("facilmente resgatáveis") já está denunciada nos autos desde 05/06/2023. A tese não precisa criar a contradição; precisa apenas reativá-la.</w:t>
      </w:r>
    </w:p>
    <w:p>
      <w:pPr>
        <w:pStyle w:val="Heading1"/>
      </w:pPr>
      <w:r>
        <w:rPr>
          <w:color w:val="1A1A1A"/>
        </w:rPr>
        <w:t>III. Sanatório 2 — Genealogia precisa do significante "cota"</w:t>
      </w:r>
    </w:p>
    <w:p>
      <w:pPr>
        <w:jc w:val="both"/>
      </w:pPr>
      <w:r>
        <w:rPr>
          <w:b w:val="0"/>
          <w:i w:val="0"/>
        </w:rPr>
        <w:t>A v1 sustentou a "introdução do signo cota pela defesa". O sanatório exige verificação literal. Procedi à verificação exaustiva.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Trecho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Subscrição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608"/>
          </w:tcPr>
          <w:p>
            <w:r>
              <w:rPr>
                <w:b/>
              </w:rPr>
              <w:t>"bloqueio"</w:t>
            </w:r>
          </w:p>
        </w:tc>
        <w:tc>
          <w:tcPr>
            <w:tcW w:type="dxa" w:w="1608"/>
          </w:tcPr>
          <w:p>
            <w:r>
              <w:rPr>
                <w:b/>
              </w:rPr>
              <w:t>"cota(s)"</w:t>
            </w:r>
          </w:p>
        </w:tc>
        <w:tc>
          <w:tcPr>
            <w:tcW w:type="dxa" w:w="1608"/>
          </w:tcPr>
          <w:p>
            <w:r>
              <w:rPr>
                <w:b/>
              </w:rPr>
              <w:t>Conclusão</w:t>
            </w:r>
          </w:p>
        </w:tc>
      </w:tr>
      <w:tr>
        <w:tc>
          <w:tcPr>
            <w:tcW w:type="dxa" w:w="1608"/>
          </w:tcPr>
          <w:p>
            <w:r>
              <w:t>Recibo SISBAJUD fls. 490/510</w:t>
            </w:r>
          </w:p>
        </w:tc>
        <w:tc>
          <w:tcPr>
            <w:tcW w:type="dxa" w:w="1608"/>
          </w:tcPr>
          <w:p>
            <w:r>
              <w:t>BACEN-CNJ (instituição financeira)</w:t>
            </w:r>
          </w:p>
        </w:tc>
        <w:tc>
          <w:tcPr>
            <w:tcW w:type="dxa" w:w="1608"/>
          </w:tcPr>
          <w:p>
            <w:r>
              <w:t>16-22/05/2023</w:t>
            </w:r>
          </w:p>
        </w:tc>
        <w:tc>
          <w:tcPr>
            <w:tcW w:type="dxa" w:w="1608"/>
          </w:tcPr>
          <w:p>
            <w:r>
              <w:t>54 ocorrências</w:t>
            </w:r>
          </w:p>
        </w:tc>
        <w:tc>
          <w:tcPr>
            <w:tcW w:type="dxa" w:w="1608"/>
          </w:tcPr>
          <w:p>
            <w:r>
              <w:t>27 ocorrências (instrumentais)</w:t>
            </w:r>
          </w:p>
        </w:tc>
        <w:tc>
          <w:tcPr>
            <w:tcW w:type="dxa" w:w="1608"/>
          </w:tcPr>
          <w:p>
            <w:r>
              <w:t>Prevalência massiva de "bloqueio"; "cota" como identificador técnico de produto, não categoria jurídica</w:t>
            </w:r>
          </w:p>
        </w:tc>
      </w:tr>
      <w:tr>
        <w:tc>
          <w:tcPr>
            <w:tcW w:type="dxa" w:w="1608"/>
          </w:tcPr>
          <w:p>
            <w:r>
              <w:t>Petição da defesa fls. 569/575</w:t>
            </w:r>
          </w:p>
        </w:tc>
        <w:tc>
          <w:tcPr>
            <w:tcW w:type="dxa" w:w="1608"/>
          </w:tcPr>
          <w:p>
            <w:r>
              <w:t>Machado, Meyer, Sendacz e Opice — Eliane Cristina Carvalho</w:t>
            </w:r>
          </w:p>
        </w:tc>
        <w:tc>
          <w:tcPr>
            <w:tcW w:type="dxa" w:w="1608"/>
          </w:tcPr>
          <w:p>
            <w:r>
              <w:t>13/06/2023 18:40 (WPIN23701180440)</w:t>
            </w:r>
          </w:p>
        </w:tc>
        <w:tc>
          <w:tcPr>
            <w:tcW w:type="dxa" w:w="1608"/>
          </w:tcPr>
          <w:p>
            <w:r>
              <w:t>Pontual</w:t>
            </w:r>
          </w:p>
        </w:tc>
        <w:tc>
          <w:tcPr>
            <w:tcW w:type="dxa" w:w="1608"/>
          </w:tcPr>
          <w:p>
            <w:r>
              <w:t>MASSIVA — núcleo da peça</w:t>
            </w:r>
          </w:p>
        </w:tc>
        <w:tc>
          <w:tcPr>
            <w:tcW w:type="dxa" w:w="1608"/>
          </w:tcPr>
          <w:p>
            <w:r>
              <w:t>É AQUI que se INSTITUI o significante "cota" como categoria jurídica. Título seção II: "BLOQUEIOS INDEVIDOS — AUSÊNCIA DE LIQUIDEZ DE COTAS DE FUNDO DE INVESTIMENTO FECHADO" (fls. 570)</w:t>
            </w:r>
          </w:p>
        </w:tc>
      </w:tr>
    </w:tbl>
    <w:p/>
    <w:p>
      <w:pPr>
        <w:pStyle w:val="Heading2"/>
      </w:pPr>
      <w:r>
        <w:rPr>
          <w:color w:val="7A0C0C"/>
        </w:rPr>
        <w:t>Redação sanada — precisão verificada</w:t>
      </w:r>
    </w:p>
    <w:p>
      <w:pPr>
        <w:jc w:val="both"/>
      </w:pPr>
      <w:r>
        <w:rPr>
          <w:b w:val="0"/>
          <w:i/>
        </w:rPr>
        <w:t>"O recibo de fls. 490/510 do SISBAJUD opera, em PREVALÊNCIA MASSIVA, sobre o significante 'bloqueio' (54 ocorrências literais), enquanto o significante 'cota' aparece, naquele recibo, apenas como identificador técnico de produto financeiro custodiado (27 ocorrências, todas instrumentais). É a petição da defesa de fls. 569/575 — subscrita pelo escritório Machado, Meyer, Sendacz e Opice Advogados, protocolada em 13/06/2023 sob WPIN23701180440 — que INSTITUI o significante 'cota' como categoria jurídica do litígio. O título da seção II é literalmente: 'BLOQUEIOS INDEVIDOS — AUSÊNCIA DE LIQUIDEZ DE COTAS DE FUNDO DE INVESTIMENTO FECHADO' (fls. 570). A reclassificação semântica do ativo opera ali — não no SISBAJUD."</w:t>
      </w:r>
    </w:p>
    <w:p>
      <w:pPr>
        <w:pStyle w:val="Heading1"/>
      </w:pPr>
      <w:r>
        <w:rPr>
          <w:color w:val="1A1A1A"/>
        </w:rPr>
        <w:t>IV. Sanatório 3 — Fraude à execução como fundamento INSTRUMENTAL, não sanção autônoma</w:t>
      </w:r>
    </w:p>
    <w:p>
      <w:pPr>
        <w:jc w:val="both"/>
      </w:pPr>
      <w:r>
        <w:rPr>
          <w:b w:val="0"/>
          <w:i w:val="0"/>
        </w:rPr>
        <w:t>Na fase de partilha (não na fase executiva propriamente dita), a invocação direta dos arts. 774 e 792 como base para sanção imediata pode ser contestada como prematura. A solução é deslocar a função: a fraude à execução é descrita não como pedido de sanção autônoma, mas como fundamento para medidas assecuratórias e probatórias.</w:t>
      </w:r>
    </w:p>
    <w:p>
      <w:pPr>
        <w:pStyle w:val="Heading2"/>
      </w:pPr>
      <w:r>
        <w:rPr>
          <w:color w:val="7A0C0C"/>
        </w:rPr>
        <w:t>Redação sanada — reposicionamento funcional</w:t>
      </w:r>
    </w:p>
    <w:p>
      <w:pPr>
        <w:jc w:val="both"/>
      </w:pPr>
      <w:r>
        <w:rPr>
          <w:b w:val="0"/>
          <w:i/>
        </w:rPr>
        <w:t>"Embora a declaração de fraude à execução (art. 792 do CPC) seja matéria própria da fase executiva, os atos praticados pelo Requerido — que consistem em esvaziar o potencial de efetividade de uma constrição judicial já realizada e transitada em julgado quanto ao seu regime — são FUNCIONALMENTE EQUIVALENTES à fraude e demonstram padrão de conduta que atenta contra a dignidade da justiça (art. 77, IV e VI, c/c art. 774 do CPC). NÃO SE POSTULA, POR ORA, A APLICAÇÃO DA SANÇÃO de fraude à execução, mas o reconhecimento de que tal padrão de comportamento JUSTIFICA O REFORÇO das medidas protetivas patrimoniais e a INVERSÃO DO ÔNUS PROBATÓRIO (CPC art. 373, §1º), a fim de garantir a utilidade final da partilha e coibir a perpetuação da violência patrimonial."</w:t>
      </w:r>
    </w:p>
    <w:p>
      <w:pPr>
        <w:pStyle w:val="Heading1"/>
      </w:pPr>
      <w:r>
        <w:rPr>
          <w:color w:val="1A1A1A"/>
        </w:rPr>
        <w:t>V. Reforço bônus 1 — A advogada da Requerente já denunciou a contradição (fls. 547)</w:t>
      </w:r>
    </w:p>
    <w:p>
      <w:pPr>
        <w:jc w:val="both"/>
      </w:pPr>
      <w:r>
        <w:rPr>
          <w:b/>
          <w:i w:val="0"/>
        </w:rPr>
        <w:t>A Dra. Priscilla Limena (OAB/SP 154.282) requereu, em 05/06/2023, que o juízo reativasse a ordem SISBAJUD integralmente, contrastando "ativo de baixa liquidez" (fls. 493) com "facilmente resgatáveis" (fls. 539). A contradição interna do discurso adversário NÃO É TESE A SUSTENTAR — é FATO DENUNCIADO NOS AUTOS HÁ MAIS DE TRÊS ANOS.</w:t>
      </w:r>
    </w:p>
    <w:p>
      <w:pPr>
        <w:jc w:val="both"/>
      </w:pPr>
      <w:r>
        <w:rPr>
          <w:b w:val="0"/>
          <w:i w:val="0"/>
        </w:rPr>
        <w:t>Consequência: o reposicionamento aqui defendido não introduz uma tese nova — RECUPERA uma observação que já existia nos autos e foi ignorada na sequência processual. A Requerente não muda de tese; aprofunda a tese original e demonstra que a outra parte vem, há 1.095+ dias, repetindo um discurso já denunciado como contraditório por sua patrona em 05/06/2023.</w:t>
      </w:r>
    </w:p>
    <w:p>
      <w:pPr>
        <w:pStyle w:val="Heading1"/>
      </w:pPr>
      <w:r>
        <w:rPr>
          <w:color w:val="1A1A1A"/>
        </w:rPr>
        <w:t>VI. Reforço bônus 2 — Distinguishing do STJ Tema 913 (precedente invocado pela própria defesa)</w:t>
      </w:r>
    </w:p>
    <w:p>
      <w:pPr>
        <w:jc w:val="both"/>
      </w:pPr>
      <w:r>
        <w:rPr>
          <w:b w:val="0"/>
          <w:i w:val="0"/>
        </w:rPr>
        <w:t>A peça de fls. 569/575 invoca, às fls. 572-573, o REsp Repetitivo do STJ (Tema 913) como suporte. A leitura íntegra revela que o argumento JOGA CONTRA A DEFESA, não a seu favor: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O que o Tema 913 do STJ efetivamente decidiu</w:t>
            </w:r>
          </w:p>
        </w:tc>
        <w:tc>
          <w:tcPr>
            <w:tcW w:type="dxa" w:w="4824"/>
          </w:tcPr>
          <w:p>
            <w:r>
              <w:rPr>
                <w:b/>
              </w:rPr>
              <w:t>O que a defesa tenta extrair</w:t>
            </w:r>
          </w:p>
        </w:tc>
      </w:tr>
      <w:tr>
        <w:tc>
          <w:tcPr>
            <w:tcW w:type="dxa" w:w="4824"/>
          </w:tcPr>
          <w:p>
            <w:r>
              <w:t>1. Cotas de fundo de investimento são VALORES MOBILIÁRIOS PENHORÁVEIS (Lei 6.385/76, art. 2º, V); apenas NÃO ESTÃO na primeira ordem do CPC art. 835.</w:t>
            </w:r>
          </w:p>
        </w:tc>
        <w:tc>
          <w:tcPr>
            <w:tcW w:type="dxa" w:w="4824"/>
          </w:tcPr>
          <w:p>
            <w:r>
              <w:t>Que cotas de FIP seriam IMPENHORÁVEIS — leitura que o STJ EXPRESSAMENTE REJEITA.</w:t>
            </w:r>
          </w:p>
        </w:tc>
      </w:tr>
      <w:tr>
        <w:tc>
          <w:tcPr>
            <w:tcW w:type="dxa" w:w="4824"/>
          </w:tcPr>
          <w:p>
            <w:r>
              <w:t>2. A gradação legal pode ser FLEXIBILIZADA à luz do caso concreto, sopesando-se a aptidão satisfativa.</w:t>
            </w:r>
          </w:p>
        </w:tc>
        <w:tc>
          <w:tcPr>
            <w:tcW w:type="dxa" w:w="4824"/>
          </w:tcPr>
          <w:p>
            <w:r>
              <w:t>Que a gradação é absoluta e que cotas de FIP, por isso, seriam inacessíveis.</w:t>
            </w:r>
          </w:p>
        </w:tc>
      </w:tr>
      <w:tr>
        <w:tc>
          <w:tcPr>
            <w:tcW w:type="dxa" w:w="4824"/>
          </w:tcPr>
          <w:p>
            <w:r>
              <w:t>3. O precedente trata de hipótese em que a instituição financeira RECUSOU nomear à penhora — recusa considerada legítima.</w:t>
            </w:r>
          </w:p>
        </w:tc>
        <w:tc>
          <w:tcPr>
            <w:tcW w:type="dxa" w:w="4824"/>
          </w:tcPr>
          <w:p>
            <w:r>
              <w:t>Que o caso seria análogo. NÃO É. Às fls. 575 item 26, o Requerido diz: "não se opõe o requerido quanto ao bloqueio de suas cotas". Não há recusa; há CONCORDÂNCIA. O pressuposto do precedente está AUSENTE.</w:t>
            </w:r>
          </w:p>
        </w:tc>
      </w:tr>
    </w:tbl>
    <w:p/>
    <w:p>
      <w:pPr>
        <w:jc w:val="both"/>
      </w:pPr>
      <w:r>
        <w:rPr>
          <w:b/>
          <w:i w:val="0"/>
        </w:rPr>
        <w:t>Distinguishing dúplice: (i) o STJ afirma penhorabilidade — não impenhorabilidade — das cotas de FIP; (ii) o precedente pressupõe recusa do executado, ausente neste caso por confissão expressa às fls. 575.</w:t>
      </w:r>
    </w:p>
    <w:p>
      <w:pPr>
        <w:pStyle w:val="Heading1"/>
      </w:pPr>
      <w:r>
        <w:rPr>
          <w:color w:val="1A1A1A"/>
        </w:rPr>
        <w:t>VII. Tese consolidada v2 — uma frase</w:t>
      </w:r>
    </w:p>
    <w:p>
      <w:pPr>
        <w:jc w:val="both"/>
      </w:pPr>
      <w:r>
        <w:rPr>
          <w:b/>
          <w:i w:val="0"/>
        </w:rPr>
        <w:t>Não há, nos autos, devolução por impenhorabilidade nem decisão judicial reconhecendo-a; existe, ao contrário, bloqueio frutífero de R$ 10.503.164,01 certificado às fls. 492/499 e arresto de cotas mantido por acórdão transitado em julgado em 10/10/2023. A "ausência de liquidez" alegada pela defesa às fls. 569/575 é reclassificação semântica do ativo, denunciada como contraditória pela própria patrona da Requerente já em 05/06/2023 (fls. 547), e contradita pelo próprio precedente STJ que a defesa invoca. O padrão de conduta — manter o patrimônio comum fora do alcance da meação por confusão semântica sustentada por 1.095+ dias — é funcionalmente equivalente à fraude à execução, e justifica, como FUNDAMENTO INSTRUMENTAL, o reforço das medidas protetivas patrimoniais e a inversão do ônus probatório (CPC art. 373, §1º).</w:t>
      </w:r>
    </w:p>
    <w:p>
      <w:pPr>
        <w:pStyle w:val="Heading1"/>
      </w:pPr>
      <w:r>
        <w:rPr>
          <w:color w:val="1A1A1A"/>
        </w:rPr>
        <w:t>VIII. Pedidos refinados (v2)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Pedido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Fundamento sanado</w:t>
            </w:r>
          </w:p>
        </w:tc>
      </w:tr>
      <w:tr>
        <w:tc>
          <w:tcPr>
            <w:tcW w:type="dxa" w:w="3216"/>
          </w:tcPr>
          <w:p>
            <w:r>
              <w:t>A</w:t>
            </w:r>
          </w:p>
        </w:tc>
        <w:tc>
          <w:tcPr>
            <w:tcW w:type="dxa" w:w="3216"/>
          </w:tcPr>
          <w:p>
            <w:r>
              <w:t>Declaração de incontrovérsia da existência do ativo financeiro localizado em 16/05/2023 (R$ 84.856.714,65 — fls. 419/424) e da sua comunicabilidade.</w:t>
            </w:r>
          </w:p>
        </w:tc>
        <w:tc>
          <w:tcPr>
            <w:tcW w:type="dxa" w:w="3216"/>
          </w:tcPr>
          <w:p>
            <w:r>
              <w:t>CPC art. 374, III; CC art. 1.660, I; decisão saneadora fls. 1370-1373</w:t>
            </w:r>
          </w:p>
        </w:tc>
      </w:tr>
      <w:tr>
        <w:tc>
          <w:tcPr>
            <w:tcW w:type="dxa" w:w="3216"/>
          </w:tcPr>
          <w:p>
            <w:r>
              <w:t>B</w:t>
            </w:r>
          </w:p>
        </w:tc>
        <w:tc>
          <w:tcPr>
            <w:tcW w:type="dxa" w:w="3216"/>
          </w:tcPr>
          <w:p>
            <w:r>
              <w:t>Reafirmação do regime de constrição das cotas — declaração de que (i) inexiste devolução por impenhorabilidade nem decisão judicial reconhecendo-a; (ii) o arresto permanece firme (t.j. 10/10/2023); (iii) a "baixa liquidez" reportada pela FRAM é descrição operacional — não categoria normativa do CPC art. 833.</w:t>
            </w:r>
          </w:p>
        </w:tc>
        <w:tc>
          <w:tcPr>
            <w:tcW w:type="dxa" w:w="3216"/>
          </w:tcPr>
          <w:p>
            <w:r>
              <w:t>CPC arts. 502 e 503 (coisa julgada); CPC art. 854 §3º; CPC art. 835, XIII; STJ Tema 913 (distinguishing)</w:t>
            </w:r>
          </w:p>
        </w:tc>
      </w:tr>
      <w:tr>
        <w:tc>
          <w:tcPr>
            <w:tcW w:type="dxa" w:w="3216"/>
          </w:tcPr>
          <w:p>
            <w:r>
              <w:t>C</w:t>
            </w:r>
          </w:p>
        </w:tc>
        <w:tc>
          <w:tcPr>
            <w:tcW w:type="dxa" w:w="3216"/>
          </w:tcPr>
          <w:p>
            <w:r>
              <w:t>Reforço das medidas protetivas patrimoniais — não como sanção de fraude à execução, mas como medida assecuratória derivada da equivalência funcional. Inclui ofício permanente à FRAM/CVM sob multa diária (CPC arts. 297 e 537) e averbação preventiva.</w:t>
            </w:r>
          </w:p>
        </w:tc>
        <w:tc>
          <w:tcPr>
            <w:tcW w:type="dxa" w:w="3216"/>
          </w:tcPr>
          <w:p>
            <w:r>
              <w:t>CPC arts. 297, 537, 77 IV e VI, 774; padrão de conduta funcionalmente equivalente à fraude</w:t>
            </w:r>
          </w:p>
        </w:tc>
      </w:tr>
      <w:tr>
        <w:tc>
          <w:tcPr>
            <w:tcW w:type="dxa" w:w="3216"/>
          </w:tcPr>
          <w:p>
            <w:r>
              <w:t>D</w:t>
            </w:r>
          </w:p>
        </w:tc>
        <w:tc>
          <w:tcPr>
            <w:tcW w:type="dxa" w:w="3216"/>
          </w:tcPr>
          <w:p>
            <w:r>
              <w:t>Inversão do ônus probatório — atribuição ao Requerido do encargo de demonstrar a alegada iliquidez por documentação estrutural (regulamento consolidado, boletins, laudo, demonstrações), sob pena de presunção CPC art. 400.</w:t>
            </w:r>
          </w:p>
        </w:tc>
        <w:tc>
          <w:tcPr>
            <w:tcW w:type="dxa" w:w="3216"/>
          </w:tcPr>
          <w:p>
            <w:r>
              <w:t>CPC art. 373, §1º + Res. CNJ 492/2023; CPC arts. 396-404, 400, 537</w:t>
            </w:r>
          </w:p>
        </w:tc>
      </w:tr>
      <w:tr>
        <w:tc>
          <w:tcPr>
            <w:tcW w:type="dxa" w:w="3216"/>
          </w:tcPr>
          <w:p>
            <w:r>
              <w:t>E</w:t>
            </w:r>
          </w:p>
        </w:tc>
        <w:tc>
          <w:tcPr>
            <w:tcW w:type="dxa" w:w="3216"/>
          </w:tcPr>
          <w:p>
            <w:r>
              <w:t>Plano de liquidação no momento adequado — alienação judicial, adjudicação pela Requerente, ou apuração de haveres; aproveitamento do gatilho contratual Cláusula 9.7 do Acordo de Cotistas (fls. 1330) — saída forçada em 90 dias com piso R$ 127,04/cota + IPCA + 8%.</w:t>
            </w:r>
          </w:p>
        </w:tc>
        <w:tc>
          <w:tcPr>
            <w:tcW w:type="dxa" w:w="3216"/>
          </w:tcPr>
          <w:p>
            <w:r>
              <w:t>CPC arts. 879-903 + 904; Acordo de Cotistas Cláusula 9.7 (fls. 1330); RCVM 175/2022</w:t>
            </w:r>
          </w:p>
        </w:tc>
      </w:tr>
    </w:tbl>
    <w:p/>
    <w:p>
      <w:pPr>
        <w:pStyle w:val="Heading1"/>
      </w:pPr>
      <w:r>
        <w:rPr>
          <w:color w:val="1A1A1A"/>
        </w:rPr>
        <w:t>IX. Silogismo de fechamento — v2</w:t>
      </w:r>
    </w:p>
    <w:p>
      <w:pPr>
        <w:jc w:val="both"/>
      </w:pPr>
      <w:r>
        <w:rPr>
          <w:b w:val="0"/>
          <w:i w:val="0"/>
        </w:rPr>
        <w:t>P1 — Norma. A impenhorabilidade (CPC art. 833) é categoria taxativa que depende de (i) arguição específica (CPC art. 854, §3º) e (ii) reconhecimento judicial expresso.</w:t>
      </w:r>
    </w:p>
    <w:p>
      <w:pPr>
        <w:jc w:val="both"/>
      </w:pPr>
      <w:r>
        <w:rPr>
          <w:b w:val="0"/>
          <w:i w:val="0"/>
        </w:rPr>
        <w:t>P2 — Fato. Nos autos, não há (i) devolução do SISBAJUD por impenhorabilidade; (ii) arguição específica do art. 833; (iii) decisão judicial reconhecendo impenhorabilidade. Há, ao contrário: bloqueio frutífero certificado (fls. 491/510), bloqueio efetivo de R$ 10.503.164,01 (fls. 492/499), arresto das cotas mantido por acórdão transitado em julgado (fls. 1064-1079, t.j. 10/10/2023), reafirmação em saneamento (fls. 1370-1373), rejeição de embargos (fls. 1405-1406).</w:t>
      </w:r>
    </w:p>
    <w:p>
      <w:pPr>
        <w:jc w:val="both"/>
      </w:pPr>
      <w:r>
        <w:rPr>
          <w:b w:val="0"/>
          <w:i w:val="0"/>
        </w:rPr>
        <w:t>P3 — Conduta. A defesa sustenta, desde fls. 569/575 (13/06/2023, Machado, Meyer, Sendacz e Opice), narrativa de "ausência de liquidez de cotas de fundo de investimento fechado" — reclassificação semântica do ativo, sem trazer aos autos a documentação estrutural exigível, contradizendo informação prestada por outras vias e denunciada como contraditória pela Requerente já às fls. 547 (05/06/2023).</w:t>
      </w:r>
    </w:p>
    <w:p>
      <w:pPr>
        <w:jc w:val="both"/>
      </w:pPr>
      <w:r>
        <w:rPr>
          <w:b/>
          <w:i w:val="0"/>
        </w:rPr>
        <w:t>Conclusão. A iliquidez é alegação operacional não documentada; a impenhorabilidade é categoria normativa não arguida e não reconhecida. A confusão entre as duas é vetor de conduta funcionalmente equivalente à fraude à execução (CPC art. 792), com efeito processual de manutenção do patrimônio comum fora do alcance da meação por 1.095+ dias. A consequência cabível, no campo cível, é o reforço das medidas protetivas patrimoniais, a inversão do ônus probatório e a presunção CPC art. 400. A sede própria do desdobramento penal, eventual, é a notícia-crime autônoma instruída ao Ministério Público.</w:t>
      </w:r>
    </w:p>
    <w:p>
      <w:pPr>
        <w:pStyle w:val="Heading1"/>
      </w:pPr>
      <w:r>
        <w:rPr>
          <w:color w:val="1A1A1A"/>
        </w:rPr>
        <w:t>X. Conformidade metodológica</w:t>
      </w:r>
    </w:p>
    <w:p>
      <w:pPr>
        <w:jc w:val="both"/>
      </w:pPr>
      <w:r>
        <w:rPr>
          <w:b w:val="0"/>
          <w:i w:val="0"/>
        </w:rPr>
        <w:t>Este parecer (v2) sucede e complementa a v1 (Doc. 16). É instrumento técnico-jurídico de apoio; não é perícia oficial. Toda afirmação fática está ancorada em folhas dos autos, registro público ou norma vigente. Qualificações jurídicas atribuídas a condutas alheias são descritas em tese (CF art. 5º, LVII). A descrição como "funcionalmente equivalente à fraude à execução" não constitui imputação categórica — é juízo de equivalência funcional para fins exclusivos de fundamentação de medidas instrumentais.</w:t>
      </w:r>
    </w:p>
    <w:p>
      <w:pPr>
        <w:jc w:val="both"/>
      </w:pPr>
      <w:r>
        <w:rPr>
          <w:b w:val="0"/>
          <w:i w:val="0"/>
        </w:rPr>
        <w:t>Conversão em peça subscrita por OAB e/ou laudo CRC/CORECON antes de qualquer uso processual.</w:t>
      </w:r>
    </w:p>
    <w:p>
      <w:pPr>
        <w:pStyle w:val="Heading1"/>
      </w:pPr>
      <w:r>
        <w:rPr>
          <w:color w:val="1A1A1A"/>
        </w:rPr>
        <w:t>Referências documentais verificadas in loco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Referências</w:t>
            </w:r>
          </w:p>
        </w:tc>
      </w:tr>
      <w:tr>
        <w:tc>
          <w:tcPr>
            <w:tcW w:type="dxa" w:w="4824"/>
          </w:tcPr>
          <w:p>
            <w:r>
              <w:t>Recibos SISBAJUD</w:t>
            </w:r>
          </w:p>
        </w:tc>
        <w:tc>
          <w:tcPr>
            <w:tcW w:type="dxa" w:w="4824"/>
          </w:tcPr>
          <w:p>
            <w:r>
              <w:t>fls. 410, 418-419 (fotografia 16-22/05/2023, R$ 84.856.714,65); fls. 491/510 (bloqueio frutífero); fls. 492/499 (certificação R$ 10.503.164,01); fls. 493 (FRAM — "ativo de baixa liquidez"); fls. 539 (carteira "facilmente resgatável")</w:t>
            </w:r>
          </w:p>
        </w:tc>
      </w:tr>
      <w:tr>
        <w:tc>
          <w:tcPr>
            <w:tcW w:type="dxa" w:w="4824"/>
          </w:tcPr>
          <w:p>
            <w:r>
              <w:t>Peça da Requerente</w:t>
            </w:r>
          </w:p>
        </w:tc>
        <w:tc>
          <w:tcPr>
            <w:tcW w:type="dxa" w:w="4824"/>
          </w:tcPr>
          <w:p>
            <w:r>
              <w:t>fls. 545-547 (Giselle Cantagallo + Priscilla Limena; 05/06/2023; WPIN23701123900) — item 10 denuncia a contradição</w:t>
            </w:r>
          </w:p>
        </w:tc>
      </w:tr>
      <w:tr>
        <w:tc>
          <w:tcPr>
            <w:tcW w:type="dxa" w:w="4824"/>
          </w:tcPr>
          <w:p>
            <w:r>
              <w:t>Peça da Defesa</w:t>
            </w:r>
          </w:p>
        </w:tc>
        <w:tc>
          <w:tcPr>
            <w:tcW w:type="dxa" w:w="4824"/>
          </w:tcPr>
          <w:p>
            <w:r>
              <w:t>fls. 569-575 (Eliane Cristina Carvalho — Machado, Meyer, Sendacz e Opice; 13/06/2023 18:40; WPIN23701180440) — institui "cota"; invoca STJ Tema 913; fls. 572 contém confissão "veículo da participação na Evino"; fls. 575 item 26 "não se opõe ao bloqueio"</w:t>
            </w:r>
          </w:p>
        </w:tc>
      </w:tr>
      <w:tr>
        <w:tc>
          <w:tcPr>
            <w:tcW w:type="dxa" w:w="4824"/>
          </w:tcPr>
          <w:p>
            <w:r>
              <w:t>Acórdão TJSP</w:t>
            </w:r>
          </w:p>
        </w:tc>
        <w:tc>
          <w:tcPr>
            <w:tcW w:type="dxa" w:w="4824"/>
          </w:tcPr>
          <w:p>
            <w:r>
              <w:t>fls. 1064-1079 — bloqueio das cotas mantido até liquidação; trânsito em julgado 10/10/2023 (fls. 1079)</w:t>
            </w:r>
          </w:p>
        </w:tc>
      </w:tr>
      <w:tr>
        <w:tc>
          <w:tcPr>
            <w:tcW w:type="dxa" w:w="4824"/>
          </w:tcPr>
          <w:p>
            <w:r>
              <w:t>Decisão saneadora</w:t>
            </w:r>
          </w:p>
        </w:tc>
        <w:tc>
          <w:tcPr>
            <w:tcW w:type="dxa" w:w="4824"/>
          </w:tcPr>
          <w:p>
            <w:r>
              <w:t>fls. 1370-1373 (02/09/2024, Juíza Ana Cristina Weynen Cores) — reafirmação; indeferimento da transferência imediata</w:t>
            </w:r>
          </w:p>
        </w:tc>
      </w:tr>
      <w:tr>
        <w:tc>
          <w:tcPr>
            <w:tcW w:type="dxa" w:w="4824"/>
          </w:tcPr>
          <w:p>
            <w:r>
              <w:t>Embargos</w:t>
            </w:r>
          </w:p>
        </w:tc>
        <w:tc>
          <w:tcPr>
            <w:tcW w:type="dxa" w:w="4824"/>
          </w:tcPr>
          <w:p>
            <w:r>
              <w:t>fls. 1392-1404 rejeitados às fls. 1405-1406 (08/11/2024)</w:t>
            </w:r>
          </w:p>
        </w:tc>
      </w:tr>
      <w:tr>
        <w:tc>
          <w:tcPr>
            <w:tcW w:type="dxa" w:w="4824"/>
          </w:tcPr>
          <w:p>
            <w:r>
              <w:t>Acordo de Cotistas</w:t>
            </w:r>
          </w:p>
        </w:tc>
        <w:tc>
          <w:tcPr>
            <w:tcW w:type="dxa" w:w="4824"/>
          </w:tcPr>
          <w:p>
            <w:r>
              <w:t>fls. 1330 — Cláusula 9.7 (saída forçada 90 dias; piso R$ 127,04/cota + IPCA + 8%)</w:t>
            </w:r>
          </w:p>
        </w:tc>
      </w:tr>
      <w:tr>
        <w:tc>
          <w:tcPr>
            <w:tcW w:type="dxa" w:w="4824"/>
          </w:tcPr>
          <w:p>
            <w:r>
              <w:t>SISBAJUD conexo</w:t>
            </w:r>
          </w:p>
        </w:tc>
        <w:tc>
          <w:tcPr>
            <w:tcW w:type="dxa" w:w="4824"/>
          </w:tcPr>
          <w:p>
            <w:r>
              <w:t>fls. 123 do desdobrado — 31/03/2026; BTG R$ 27.799,79 (cód. 12)</w:t>
            </w:r>
          </w:p>
        </w:tc>
      </w:tr>
      <w:tr>
        <w:tc>
          <w:tcPr>
            <w:tcW w:type="dxa" w:w="4824"/>
          </w:tcPr>
          <w:p>
            <w:r>
              <w:t>Normas</w:t>
            </w:r>
          </w:p>
        </w:tc>
        <w:tc>
          <w:tcPr>
            <w:tcW w:type="dxa" w:w="4824"/>
          </w:tcPr>
          <w:p>
            <w:r>
              <w:t>CF 5º LVII e LXXVIII; CC 1.658, 1.659, 1.660 I, 1.642, 1.647, 1.368-C; CPC 77 IV e VI, 297, 344, 357, 373 II e §1º, 374 III, 396-404, 472, 502-503, 537, 774, 792 IV e §1º, 833, 835 XIII, 854 e §3º, 879-903, 904; Lei 6.385/76 art. 2º V; CP 171, 179; Res. CNJ 232/2016 e 492/2023; RCVM 175/2022; STJ Tema 913</w:t>
            </w:r>
          </w:p>
        </w:tc>
      </w:tr>
    </w:tbl>
    <w:p/>
    <w:p>
      <w:pPr>
        <w:jc w:val="center"/>
      </w:pPr>
      <w:r>
        <w:rPr>
          <w:i/>
          <w:sz w:val="17"/>
        </w:rPr>
        <w:t>Série DOSSIÊS E NOTAS TÉCNICAS — documento 17 · Versão 2.0 · sucede o Doc. 16 (v1.0) · 14/06/2026 · INSTRUMENTO INTERNO · CONFIDENCIAL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